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Utama dari Ekosistem Buku Pendidikan Dokter Spesialis Kedokteran Keluarga Layanan Primer (SpKKLP)</w:t>
      </w:r>
    </w:p>
    <w:p>
      <w:pPr>
        <w:spacing w:after="200"/>
      </w:pPr>
    </w:p>
    <w:p>
      <w:pPr>
        <w:jc w:val="center"/>
      </w:pPr>
      <w:r>
        <w:rPr>
          <w:b/>
          <w:bCs/>
          <w:sz w:val="36"/>
          <w:szCs w:val="36"/>
        </w:rPr>
        <w:t xml:space="preserve">Orientasi: Peta Kompetensi dan Peran Dokter Spesialis Kedokteran Keluarga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MENGAPA BUKU INI DISUSUN</w:t>
      </w:r>
    </w:p>
    <w:p>
      <w:pPr>
        <w:spacing w:after="160" w:before="40"/>
        <w:jc w:val="both"/>
      </w:pPr>
      <w:r>
        <w:rPr>
          <w:i/>
          <w:iCs/>
          <w:color w:val="2C3A64"/>
          <w:sz w:val="24"/>
          <w:szCs w:val="24"/>
        </w:rPr>
        <w:t xml:space="preserve">Empat tahun ke depan akan penuh dengan istilah baru, dokumen baru, dan tuntutan kompetensi yang terasa tak berujung. Buku ini adalah peta yang membantu Anda melihat ke mana semuanya bermuara sebelum tersesat di tengah jalan.</w:t>
      </w:r>
    </w:p>
    <w:p>
      <w:pPr>
        <w:spacing w:after="160"/>
        <w:jc w:val="both"/>
      </w:pPr>
      <w:r>
        <w:t xml:space="preserve">Buku ini adalah gerbang masuk bagi seluruh Ekosistem Buku Pendidikan Dokter Spesialis Kedokteran Keluarga Layanan Primer (SpKKLP). Ditujukan bagi dokter umum yang sedang menempuh Program Pendidikan Dokter Spesialis Kedokteran Keluarga Layanan Primer, buku ini memberikan peta menyeluruh atas apa yang akan dipelajari selama pendidikan empat tahun, bagaimana kompetensi tersebut disusun secara resmi oleh Konsil Kedokteran Indonesia, dan bagaimana kedudukan dokter spesialis ini berbeda dari dokter umum di fasilitas kesehatan tingkat pertama.</w:t>
      </w:r>
    </w:p>
    <w:p>
      <w:pPr>
        <w:spacing w:after="160"/>
        <w:jc w:val="both"/>
      </w:pPr>
      <w:r>
        <w:t xml:space="preserve">Seluruh unit dalam ekosistem ini disusun berbasis Peraturan Konsil Kedokteran Indonesia Nomor 65 Tahun 2019 tentang Standar Pendidikan Profesi Dokter Spesialis Kedokteran Keluarga Layanan Primer.</w:t>
      </w:r>
    </w:p>
    <w:p>
      <w:pPr>
        <w:pBdr>
          <w:left w:val="single" w:color="A9812F" w:sz="18"/>
        </w:pBdr>
        <w:spacing w:after="200" w:before="100"/>
        <w:ind w:left="480"/>
      </w:pPr>
      <w:r>
        <w:rPr>
          <w:i/>
          <w:iCs/>
          <w:color w:val="5B6478"/>
        </w:rPr>
        <w:t xml:space="preserve">Pendidikan dokter spesialis kedokteran keluarga layanan primer diselenggarakan untuk menghasilkan dokter yang memiliki kemampuan akademik dan profesional dalam memberikan pelayanan kesehatan komprehensif yang berpusat pada individu, berfokus pada keluarga, dan berorientasi pada komunitas, sesuai dengan latar belakang budaya, di fasilitas pelayanan kesehatan tingkat pertama.</w:t>
      </w:r>
    </w:p>
    <w:p>
      <w:pPr>
        <w:spacing w:after="160"/>
        <w:jc w:val="both"/>
      </w:pPr>
      <w:r>
        <w:t xml:space="preserve">Program pendidikan ini berbeda secara mendasar dari pendidikan dokter spesialis berbasis rumah sakit: wahana utamanya adalah fasilitas kesehatan tingkat pertama (FKTP) — Puskesmas, klinik pratama, dan praktik dokter keluarga jejaring — bukan bangsal rumah sakit.</w:t>
      </w:r>
    </w:p>
    <w:p>
      <w:pPr>
        <w:pStyle w:val="Heading1"/>
        <w:spacing w:after="150" w:before="300"/>
      </w:pPr>
      <w:r>
        <w:t xml:space="preserve">BAB II — DASAR HUKUM DAN KEDUDUKAN STANDAR PENDIDIKAN</w:t>
      </w:r>
    </w:p>
    <w:p>
      <w:pPr>
        <w:spacing w:after="160" w:before="40"/>
        <w:jc w:val="both"/>
      </w:pPr>
      <w:r>
        <w:rPr>
          <w:i/>
          <w:iCs/>
          <w:color w:val="2C3A64"/>
          <w:sz w:val="24"/>
          <w:szCs w:val="24"/>
        </w:rPr>
        <w:t xml:space="preserve">Setiap buku dalam ekosistem ini bisa ditelusuri baliknya ke satu dokumen hukum tunggal. Mengenal dokumen ini bukan formalitas — inilah yang membuat seluruh sistem pendidikan Anda punya kekuatan mengikat.</w:t>
      </w:r>
    </w:p>
    <w:p>
      <w:pPr>
        <w:pStyle w:val="Heading2"/>
        <w:spacing w:after="120" w:before="250"/>
      </w:pPr>
      <w:r>
        <w:t xml:space="preserve">A. Peraturan Konsil Kedokteran Indonesia Nomor 65 Tahun 2019</w:t>
      </w:r>
    </w:p>
    <w:p>
      <w:pPr>
        <w:spacing w:after="160"/>
        <w:jc w:val="both"/>
      </w:pPr>
      <w:r>
        <w:t xml:space="preserve">Standar Pendidikan Profesi Dokter Spesialis Kedokteran Keluarga Layanan Primer disahkan melalui Peraturan Konsil Kedokteran Indonesia Nomor 65 Tahun 2019, ditetapkan di Jakarta pada 16 Oktober 2019. Peraturan ini disusun berdasarkan amanat Pasal 7 ayat (1) huruf b dan Pasal 26 ayat (1) Undang-Undang Nomor 29 Tahun 2004 tentang Praktik Kedokteran, serta mengacu pada Standar Nasional Pendidikan Kedokteran.</w:t>
      </w:r>
    </w:p>
    <w:p>
      <w:pPr>
        <w:pStyle w:val="Heading2"/>
        <w:spacing w:after="120" w:before="250"/>
      </w:pPr>
      <w:r>
        <w:t xml:space="preserve">B. Tujuh Belas Komponen Standar</w:t>
      </w:r>
    </w:p>
    <w:p>
      <w:pPr>
        <w:spacing w:after="160"/>
        <w:jc w:val="both"/>
      </w:pPr>
      <w:r>
        <w:t xml:space="preserve">Sesuai Pasal 2 ayat (2) peraturan ini, Standar Pendidikan Profesi memuat tujuh belas komponen standar sekaligus: mulai dari Standar Kompetensi, Standar Isi, Standar Proses Pencapaian Kompetensi Berdasarkan Tahap Pendidikan, Standar Rumah Sakit Pendidikan, Standar Wahana Pendidikan Kedokteran, Standar Dosen, Standar Tenaga Kependidikan, Standar Penerimaan Calon Mahasiswa, Standar Sarana dan Prasarana, Standar Pengelolaan, Standar Pembiayaan, Standar Penilaian Program, Standar Penelitian, Standar Pengabdian kepada Masyarakat, Standar Kontrak Kerja Sama Wahana Pendidikan, Standar Pemantauan dan Pelaporan, hingga Standar Pola Pemberian Insentif bagi peserta didik.</w:t>
      </w:r>
    </w:p>
    <w:p>
      <w:pPr>
        <w:spacing w:after="160"/>
        <w:jc w:val="both"/>
      </w:pPr>
      <w:r>
        <w:t xml:space="preserve">Ekosistem buku ini secara khusus menerjemahkan komponen Standar Kompetensi dan Standar Isi ke dalam bentuk buku ajar dan dokumen kebijakan yang siap dipakai peserta didik dan pembimbing klinis sehari-hari; komponen standar lain (sarana-prasarana, pembiayaan, penelitian, dan sebagainya) berada di luar cakupan ekosistem buku ini dan tetap menjadi tanggung jawab institusi penyelenggara.</w:t>
      </w:r>
    </w:p>
    <w:p>
      <w:pPr>
        <w:pStyle w:val="Heading1"/>
        <w:spacing w:after="150" w:before="300"/>
      </w:pPr>
      <w:r>
        <w:t xml:space="preserve">BAB III — TUJUH AREA KOMPETENSI</w:t>
      </w:r>
    </w:p>
    <w:p>
      <w:pPr>
        <w:spacing w:after="160" w:before="40"/>
        <w:jc w:val="both"/>
      </w:pPr>
      <w:r>
        <w:rPr>
          <w:i/>
          <w:iCs/>
          <w:color w:val="2C3A64"/>
          <w:sz w:val="24"/>
          <w:szCs w:val="24"/>
        </w:rPr>
        <w:t xml:space="preserve">Bayangkan tujuh area ini sebagai tujuh laci besar tempat seluruh isi ekosistem buku ini disimpan. Begitu Anda hafal letak masing-masing laci, mencari materi apa pun ke depannya menjadi jauh lebih mudah.</w:t>
      </w:r>
    </w:p>
    <w:p>
      <w:pPr>
        <w:spacing w:after="160"/>
        <w:jc w:val="both"/>
      </w:pPr>
      <w:r>
        <w:t xml:space="preserve">Standar Kompetensi mengorganisasikan capaian pembelajaran Dokter Spesialis Kedokteran Keluarga Layanan Primer ke dalam tujuh Area Kompetensi, hasil sintesis dari kerangka kompetensi ACGME Family Medicine, RACGP, dan Standar Kompetensi Dokter Spesialis (SKDS) yang berlaku di Indonesia.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2C3A64" w:val="clear"/>
          </w:tcPr>
          <w:p>
            <w:r>
              <w:rPr>
                <w:b/>
                <w:bCs/>
                <w:color w:val="FFFFFF"/>
              </w:rPr>
              <w:t xml:space="preserve">Area</w:t>
            </w:r>
          </w:p>
        </w:tc>
        <w:tc>
          <w:tcPr>
            <w:tcW w:type="dxa" w:w="3000"/>
            <w:shd w:fill="2C3A64" w:val="clear"/>
          </w:tcPr>
          <w:p>
            <w:r>
              <w:rPr>
                <w:b/>
                <w:bCs/>
                <w:color w:val="FFFFFF"/>
              </w:rPr>
              <w:t xml:space="preserve">Nama Area Kompetensi</w:t>
            </w:r>
          </w:p>
        </w:tc>
        <w:tc>
          <w:tcPr>
            <w:tcW w:type="dxa" w:w="3000"/>
            <w:shd w:fill="2C3A64" w:val="clear"/>
          </w:tcPr>
          <w:p>
            <w:r>
              <w:rPr>
                <w:b/>
                <w:bCs/>
                <w:color w:val="FFFFFF"/>
              </w:rPr>
              <w:t xml:space="preserve">Dibahas Utama pada</w:t>
            </w:r>
          </w:p>
        </w:tc>
      </w:tr>
      <w:tr>
        <w:tc>
          <w:tcPr>
            <w:tcW w:type="dxa" w:w="3000"/>
          </w:tcPr>
          <w:p>
            <w:r>
              <w:t xml:space="preserve">a</w:t>
            </w:r>
          </w:p>
        </w:tc>
        <w:tc>
          <w:tcPr>
            <w:tcW w:type="dxa" w:w="3000"/>
          </w:tcPr>
          <w:p>
            <w:r>
              <w:t xml:space="preserve">Etika, hukum, dan profesionalisme</w:t>
            </w:r>
          </w:p>
        </w:tc>
        <w:tc>
          <w:tcPr>
            <w:tcW w:type="dxa" w:w="3000"/>
          </w:tcPr>
          <w:p>
            <w:r>
              <w:t xml:space="preserve">Buku Utama (Bab IV) &amp; Klaster Layanan Primer</w:t>
            </w:r>
          </w:p>
        </w:tc>
      </w:tr>
      <w:tr>
        <w:tc>
          <w:tcPr>
            <w:tcW w:type="dxa" w:w="3000"/>
          </w:tcPr>
          <w:p>
            <w:r>
              <w:t xml:space="preserve">b</w:t>
            </w:r>
          </w:p>
        </w:tc>
        <w:tc>
          <w:tcPr>
            <w:tcW w:type="dxa" w:w="3000"/>
          </w:tcPr>
          <w:p>
            <w:r>
              <w:t xml:space="preserve">Mawas diri dan pengembangan diri</w:t>
            </w:r>
          </w:p>
        </w:tc>
        <w:tc>
          <w:tcPr>
            <w:tcW w:type="dxa" w:w="3000"/>
          </w:tcPr>
          <w:p>
            <w:r>
              <w:t xml:space="preserve">Buku Utama (Bab V)</w:t>
            </w:r>
          </w:p>
        </w:tc>
      </w:tr>
      <w:tr>
        <w:tc>
          <w:tcPr>
            <w:tcW w:type="dxa" w:w="3000"/>
          </w:tcPr>
          <w:p>
            <w:r>
              <w:t xml:space="preserve">c</w:t>
            </w:r>
          </w:p>
        </w:tc>
        <w:tc>
          <w:tcPr>
            <w:tcW w:type="dxa" w:w="3000"/>
          </w:tcPr>
          <w:p>
            <w:r>
              <w:t xml:space="preserve">Keterampilan komunikasi dan hubungan dokter–pasien</w:t>
            </w:r>
          </w:p>
        </w:tc>
        <w:tc>
          <w:tcPr>
            <w:tcW w:type="dxa" w:w="3000"/>
          </w:tcPr>
          <w:p>
            <w:r>
              <w:t xml:space="preserve">Buku Utama (Bab VI) &amp; Buku Tematik 1</w:t>
            </w:r>
          </w:p>
        </w:tc>
      </w:tr>
      <w:tr>
        <w:tc>
          <w:tcPr>
            <w:tcW w:type="dxa" w:w="3000"/>
          </w:tcPr>
          <w:p>
            <w:r>
              <w:t xml:space="preserve">d</w:t>
            </w:r>
          </w:p>
        </w:tc>
        <w:tc>
          <w:tcPr>
            <w:tcW w:type="dxa" w:w="3000"/>
          </w:tcPr>
          <w:p>
            <w:r>
              <w:t xml:space="preserve">Pengelolaan informasi</w:t>
            </w:r>
          </w:p>
        </w:tc>
        <w:tc>
          <w:tcPr>
            <w:tcW w:type="dxa" w:w="3000"/>
          </w:tcPr>
          <w:p>
            <w:r>
              <w:t xml:space="preserve">Buku Utama &amp; Buku Tematik 10</w:t>
            </w:r>
          </w:p>
        </w:tc>
      </w:tr>
      <w:tr>
        <w:tc>
          <w:tcPr>
            <w:tcW w:type="dxa" w:w="3000"/>
          </w:tcPr>
          <w:p>
            <w:r>
              <w:t xml:space="preserve">e</w:t>
            </w:r>
          </w:p>
        </w:tc>
        <w:tc>
          <w:tcPr>
            <w:tcW w:type="dxa" w:w="3000"/>
          </w:tcPr>
          <w:p>
            <w:r>
              <w:t xml:space="preserve">Landasan ilmiah kedokteran keluarga, komunitas, dan kesehatan masyarakat</w:t>
            </w:r>
          </w:p>
        </w:tc>
        <w:tc>
          <w:tcPr>
            <w:tcW w:type="dxa" w:w="3000"/>
          </w:tcPr>
          <w:p>
            <w:r>
              <w:t xml:space="preserve">Buku Utama &amp; Buku Tematik 8</w:t>
            </w:r>
          </w:p>
        </w:tc>
      </w:tr>
      <w:tr>
        <w:tc>
          <w:tcPr>
            <w:tcW w:type="dxa" w:w="3000"/>
          </w:tcPr>
          <w:p>
            <w:r>
              <w:t xml:space="preserve">f</w:t>
            </w:r>
          </w:p>
        </w:tc>
        <w:tc>
          <w:tcPr>
            <w:tcW w:type="dxa" w:w="3000"/>
          </w:tcPr>
          <w:p>
            <w:r>
              <w:t xml:space="preserve">Keterampilan klinis kedokteran keluarga</w:t>
            </w:r>
          </w:p>
        </w:tc>
        <w:tc>
          <w:tcPr>
            <w:tcW w:type="dxa" w:w="3000"/>
          </w:tcPr>
          <w:p>
            <w:r>
              <w:t xml:space="preserve">Buku Tematik Klaster Digital (B1 &amp; B9)</w:t>
            </w:r>
          </w:p>
        </w:tc>
      </w:tr>
      <w:tr>
        <w:tc>
          <w:tcPr>
            <w:tcW w:type="dxa" w:w="3000"/>
          </w:tcPr>
          <w:p>
            <w:r>
              <w:t xml:space="preserve">g</w:t>
            </w:r>
          </w:p>
        </w:tc>
        <w:tc>
          <w:tcPr>
            <w:tcW w:type="dxa" w:w="3000"/>
          </w:tcPr>
          <w:p>
            <w:r>
              <w:t xml:space="preserve">Pengelolaan penyakit dan masalah kesehatan di layanan primer</w:t>
            </w:r>
          </w:p>
        </w:tc>
        <w:tc>
          <w:tcPr>
            <w:tcW w:type="dxa" w:w="3000"/>
          </w:tcPr>
          <w:p>
            <w:r>
              <w:t xml:space="preserve">Buku Tematik Klaster Digital (B2–B7, porsi terbesar)</w:t>
            </w:r>
          </w:p>
        </w:tc>
      </w:tr>
    </w:tbl>
    <w:p>
      <w:pPr>
        <w:spacing w:after="160"/>
      </w:pPr>
    </w:p>
    <w:p>
      <w:pPr>
        <w:spacing w:after="160"/>
        <w:jc w:val="both"/>
      </w:pPr>
      <w:r>
        <w:t xml:space="preserve">Pencapaian setiap Area Kompetensi dijabarkan secara berjenjang: Area Kompetensi → Kompetensi Inti → Komponen Kompetensi → Capaian Pembelajaran. Notasi ini dipakai secara konsisten di seluruh buku tematik saat mengutip capaian pembelajaran spesifik.</w:t>
      </w:r>
    </w:p>
    <w:p>
      <w:pPr>
        <w:pStyle w:val="Heading1"/>
        <w:spacing w:after="150" w:before="300"/>
      </w:pPr>
      <w:r>
        <w:t xml:space="preserve">BAB IV — AREA KOMPETENSI a: ETIKA, HUKUM, DAN PROFESIONALISME</w:t>
      </w:r>
    </w:p>
    <w:p>
      <w:pPr>
        <w:spacing w:after="160" w:before="40"/>
        <w:jc w:val="both"/>
      </w:pPr>
      <w:r>
        <w:rPr>
          <w:i/>
          <w:iCs/>
          <w:color w:val="2C3A64"/>
          <w:sz w:val="24"/>
          <w:szCs w:val="24"/>
        </w:rPr>
        <w:t xml:space="preserve">Keterampilan klinis tercanggih pun kehilangan artinya bila dijalankan tanpa integritas. Area ini menjadi fondasi yang menaungi ketujuh area kompetensi lain.</w:t>
      </w:r>
    </w:p>
    <w:p>
      <w:pPr>
        <w:pStyle w:val="Heading2"/>
        <w:spacing w:after="120" w:before="250"/>
      </w:pPr>
      <w:r>
        <w:t xml:space="preserve">A. Penerapan Prinsip Etika dalam Praktik Sehari-hari</w:t>
      </w:r>
    </w:p>
    <w:p>
      <w:pPr>
        <w:spacing w:after="160"/>
        <w:jc w:val="both"/>
      </w:pPr>
      <w:r>
        <w:t xml:space="preserve">Dokter spesialis kedokteran keluarga layanan primer dituntut menjunjung tinggi etika kedokteran, memahami kerangka hukum praktik kedokteran di Indonesia, dan menunjukkan profesionalisme dalam relasi dengan pasien, keluarga, sejawat, dan institusi.</w:t>
      </w:r>
    </w:p>
    <w:p>
      <w:pPr>
        <w:pStyle w:val="ListParagraph"/>
        <w:numPr>
          <w:ilvl w:val="0"/>
          <w:numId w:val="1"/>
        </w:numPr>
        <w:spacing w:after="90"/>
      </w:pPr>
      <w:r>
        <w:t xml:space="preserve">Penerapan prinsip etika kedokteran (otonomi pasien, non-maleficence, beneficence, keadilan) dalam pengambilan keputusan klinis sehari-hari, termasuk pada situasi keterbatasan sumber daya layanan primer.</w:t>
      </w:r>
    </w:p>
    <w:p>
      <w:pPr>
        <w:pStyle w:val="ListParagraph"/>
        <w:numPr>
          <w:ilvl w:val="0"/>
          <w:numId w:val="1"/>
        </w:numPr>
        <w:spacing w:after="90"/>
      </w:pPr>
      <w:r>
        <w:t xml:space="preserve">Pemahaman kerangka hukum praktik kedokteran: kewajiban dan hak dokter, informed consent, rekam medis sebagai dokumen hukum, serta batasan kerahasiaan medis.</w:t>
      </w:r>
    </w:p>
    <w:p>
      <w:pPr>
        <w:pStyle w:val="ListParagraph"/>
        <w:numPr>
          <w:ilvl w:val="0"/>
          <w:numId w:val="1"/>
        </w:numPr>
        <w:spacing w:after="90"/>
      </w:pPr>
      <w:r>
        <w:t xml:space="preserve">Kesadaran terhadap potensi konflik kepentingan, khususnya pada praktik yang melibatkan hubungan bisnis dengan industri farmasi/alat kesehatan.</w:t>
      </w:r>
    </w:p>
    <w:p>
      <w:pPr>
        <w:pStyle w:val="Heading2"/>
        <w:spacing w:after="120" w:before="250"/>
      </w:pPr>
      <w:r>
        <w:t xml:space="preserve">B. Dilema Etik Khas Layanan Primer</w:t>
      </w:r>
    </w:p>
    <w:p>
      <w:pPr>
        <w:spacing w:after="160"/>
        <w:jc w:val="both"/>
      </w:pPr>
      <w:r>
        <w:t xml:space="preserve">Sikap profesional dalam relasi lintas hierarki — kejujuran terhadap kesalahan, kesediaan menerima umpan balik, dan integritas akademik — perlu diimbangi kepekaan terhadap dilema etik khas layanan primer: batas kerahasiaan remaja versus keterlibatan keluarga (Buku Tematik 4), batas otonomi pasien lansia dengan gangguan kognitif (Buku Tematik 6), dan keadilan alokasi sumber daya terbatas pada layanan berbasis komunitas.</w:t>
      </w:r>
    </w:p>
    <w:p>
      <w:pPr>
        <w:pBdr>
          <w:left w:val="single" w:color="2C3A64" w:sz="24"/>
        </w:pBdr>
        <w:shd w:fill="EEF1F8" w:val="clear"/>
        <w:spacing w:after="200" w:before="100"/>
        <w:ind w:left="200"/>
      </w:pPr>
      <w:r>
        <w:rPr>
          <w:b/>
          <w:bCs/>
          <w:color w:val="2C3A64"/>
        </w:rPr>
        <w:t xml:space="preserve">🩺 Ilustrasi Kasus — </w:t>
      </w:r>
      <w:r>
        <w:t xml:space="preserve">Seorang peserta didik menemukan bahwa rekan sejawatnya meresepkan obat merek tertentu yang kebetulan disponsori acara pelatihan yang baru saja diikutinya, tanpa alasan klinis yang jelas dibanding alternatif generik yang setara. Kesadaran akan potensi konflik kepentingan mendorongnya mendiskusikan hal ini secara terbuka dengan pembimbing klinis, alih-alih mendiamkannya atau menuduh tanpa dasar — mencerminkan keseimbangan antara integritas dan kolegialitas.</w:t>
      </w:r>
    </w:p>
    <w:p>
      <w:pPr>
        <w:pStyle w:val="Heading1"/>
        <w:spacing w:after="150" w:before="300"/>
      </w:pPr>
      <w:r>
        <w:t xml:space="preserve">BAB V — AREA KOMPETENSI b: MAWAS DIRI DAN PENGEMBANGAN DIRI</w:t>
      </w:r>
    </w:p>
    <w:p>
      <w:pPr>
        <w:spacing w:after="160" w:before="40"/>
        <w:jc w:val="both"/>
      </w:pPr>
      <w:r>
        <w:rPr>
          <w:i/>
          <w:iCs/>
          <w:color w:val="2C3A64"/>
          <w:sz w:val="24"/>
          <w:szCs w:val="24"/>
        </w:rPr>
        <w:t xml:space="preserve">Dokter yang berhenti belajar begitu lulus ujian akhir sesungguhnya berhenti menjadi dokter yang baik jauh sebelum ia sadari.</w:t>
      </w:r>
    </w:p>
    <w:p>
      <w:pPr>
        <w:pStyle w:val="Heading2"/>
        <w:spacing w:after="120" w:before="250"/>
      </w:pPr>
      <w:r>
        <w:t xml:space="preserve">A. Praktik Reflektif dan Batas Kompetensi</w:t>
      </w:r>
    </w:p>
    <w:p>
      <w:pPr>
        <w:spacing w:after="160"/>
        <w:jc w:val="both"/>
      </w:pPr>
      <w:r>
        <w:t xml:space="preserve">Area Kompetensi b menuntut peserta didik mengembangkan kemampuan reflektif terhadap praktiknya sendiri secara berkelanjutan — kesadaran akan keterbatasan pengetahuan dan keterampilan pribadi, serta komitmen terhadap pembelajaran sepanjang hayat (lifelong learning).</w:t>
      </w:r>
    </w:p>
    <w:p>
      <w:pPr>
        <w:pStyle w:val="ListParagraph"/>
        <w:numPr>
          <w:ilvl w:val="0"/>
          <w:numId w:val="1"/>
        </w:numPr>
        <w:spacing w:after="90"/>
      </w:pPr>
      <w:r>
        <w:t xml:space="preserve">Praktik reflektif terstruktur: menuliskan dan menganalisis pengalaman klinis (termasuk kasus sulit atau kesalahan) sebagai bahan pembelajaran, bukan sekadar pelaporan administratif.</w:t>
      </w:r>
    </w:p>
    <w:p>
      <w:pPr>
        <w:pStyle w:val="ListParagraph"/>
        <w:numPr>
          <w:ilvl w:val="0"/>
          <w:numId w:val="1"/>
        </w:numPr>
        <w:spacing w:after="90"/>
      </w:pPr>
      <w:r>
        <w:t xml:space="preserve">Kesadaran akan batas kompetensi pribadi — mengenali kapan suatu kasus memerlukan konsultasi, supervisi, atau rujukan, sejalan dengan Matriks Kewenangan Klinis Bertingkat (Dokumen P4).</w:t>
      </w:r>
    </w:p>
    <w:p>
      <w:pPr>
        <w:pStyle w:val="Heading2"/>
        <w:spacing w:after="120" w:before="250"/>
      </w:pPr>
      <w:r>
        <w:t xml:space="preserve">B. Ketahanan Diri dan Pembelajaran Berkelanjutan</w:t>
      </w:r>
    </w:p>
    <w:p>
      <w:pPr>
        <w:spacing w:after="160"/>
        <w:jc w:val="both"/>
      </w:pPr>
      <w:r>
        <w:t xml:space="preserve">Ketahanan diri (resilience) dan pengelolaan kelelahan/burnout menjadi perhatian penting, mengingat tuntutan emosional pekerjaan layanan primer yang berkesinambungan dan sering menghadapi kondisi psikososial berat (Buku Tematik 5). Komitmen pengembangan profesional berkelanjutan (Continuing Professional Development/CPD) menjadi kebiasaan yang berlanjut jauh melampaui masa pendidikan formal.</w:t>
      </w:r>
    </w:p>
    <w:p>
      <w:pPr>
        <w:pStyle w:val="Heading1"/>
        <w:spacing w:after="150" w:before="300"/>
      </w:pPr>
      <w:r>
        <w:t xml:space="preserve">BAB VI — AREA KOMPETENSI c: KETERAMPILAN KOMUNIKASI DAN HUBUNGAN DOKTER-PASIEN</w:t>
      </w:r>
    </w:p>
    <w:p>
      <w:pPr>
        <w:spacing w:after="160" w:before="40"/>
        <w:jc w:val="both"/>
      </w:pPr>
      <w:r>
        <w:rPr>
          <w:i/>
          <w:iCs/>
          <w:color w:val="2C3A64"/>
          <w:sz w:val="24"/>
          <w:szCs w:val="24"/>
        </w:rPr>
        <w:t xml:space="preserve">Kata-kata yang sama bisa menenangkan atau justru melukai, tergantung bagaimana ia disampaikan. Area ini adalah dasar bagi semua bentuk penyampaian dalam praktik kedokteran keluarga.</w:t>
      </w:r>
    </w:p>
    <w:p>
      <w:pPr>
        <w:spacing w:after="160"/>
        <w:jc w:val="both"/>
      </w:pPr>
      <w:r>
        <w:t xml:space="preserve">Area Kompetensi c menjadi dasar bagi Patient-Centered Clinical Method yang dibahas rinci pada Buku Tematik 1, namun mencakup lingkup lebih luas: komunikasi dengan keluarga, komunikasi lintas profesi, dan komunikasi dalam situasi khusus.</w:t>
      </w:r>
    </w:p>
    <w:p>
      <w:pPr>
        <w:pStyle w:val="ListParagraph"/>
        <w:numPr>
          <w:ilvl w:val="0"/>
          <w:numId w:val="1"/>
        </w:numPr>
        <w:spacing w:after="90"/>
      </w:pPr>
      <w:r>
        <w:t xml:space="preserve">Membangun hubungan terapeutik jangka panjang yang menjadi ciri khas kedokteran keluarga, berbeda dari relasi episodik pada layanan spesialistik.</w:t>
      </w:r>
    </w:p>
    <w:p>
      <w:pPr>
        <w:pStyle w:val="ListParagraph"/>
        <w:numPr>
          <w:ilvl w:val="0"/>
          <w:numId w:val="1"/>
        </w:numPr>
        <w:spacing w:after="90"/>
      </w:pPr>
      <w:r>
        <w:t xml:space="preserve">Keterampilan menyampaikan berita buruk (breaking bad news) secara jelas, berempati, dan sesuai kesiapan pasien/keluarga menerima informasi.</w:t>
      </w:r>
    </w:p>
    <w:p>
      <w:pPr>
        <w:pStyle w:val="ListParagraph"/>
        <w:numPr>
          <w:ilvl w:val="0"/>
          <w:numId w:val="1"/>
        </w:numPr>
        <w:spacing w:after="90"/>
      </w:pPr>
      <w:r>
        <w:t xml:space="preserve">Komunikasi lintas budaya dan bahasa, mengingat keberagaman latar belakang pasien di layanan primer Indonesia.</w:t>
      </w:r>
    </w:p>
    <w:p>
      <w:pPr>
        <w:pStyle w:val="ListParagraph"/>
        <w:numPr>
          <w:ilvl w:val="0"/>
          <w:numId w:val="1"/>
        </w:numPr>
        <w:spacing w:after="90"/>
      </w:pPr>
      <w:r>
        <w:t xml:space="preserve">Negosiasi rencana perawatan bersama pasien pada situasi ketidaksepakatan, dengan tetap menghormati otonomi pasien selama tidak membahayakan.</w:t>
      </w:r>
    </w:p>
    <w:p>
      <w:pPr>
        <w:pStyle w:val="Heading1"/>
        <w:spacing w:after="150" w:before="300"/>
      </w:pPr>
      <w:r>
        <w:t xml:space="preserve">BAB VII — LIMA PERAN DOKTER LAYANAN PRIMER</w:t>
      </w:r>
    </w:p>
    <w:p>
      <w:pPr>
        <w:spacing w:after="160" w:before="40"/>
        <w:jc w:val="both"/>
      </w:pPr>
      <w:r>
        <w:rPr>
          <w:i/>
          <w:iCs/>
          <w:color w:val="2C3A64"/>
          <w:sz w:val="24"/>
          <w:szCs w:val="24"/>
        </w:rPr>
        <w:t xml:space="preserve">Lima peran ini akan muncul berulang-ulang di seluruh buku dalam ekosistem ini — pahami baik-baik sekarang, karena Anda akan sering diminta mengenalinya kembali.</w:t>
      </w:r>
    </w:p>
    <w:p>
      <w:pPr>
        <w:spacing w:after="160"/>
        <w:jc w:val="both"/>
      </w:pPr>
      <w:r>
        <w:t xml:space="preserve">Standar Kompetensi menegaskan bahwa dokter spesialis kedokteran keluarga layanan primer di Indonesia memiliki ciri-ciri dokter lima bintang (WHO Five-Star Doctor), sejalan dengan pengakuan Asean Region of Primary Care Association (ARFPC).</w:t>
      </w:r>
    </w:p>
    <w:p>
      <w:pPr>
        <w:pStyle w:val="ListParagraph"/>
        <w:numPr>
          <w:ilvl w:val="0"/>
          <w:numId w:val="1"/>
        </w:numPr>
        <w:spacing w:after="90"/>
      </w:pPr>
      <w:r>
        <w:t xml:space="preserve">Care Provider — memberikan layanan kedokteran keluarga yang komprehensif: aspek biologis, psikologis, sosial, kultural, dan spiritual, berstandar nasional dan regional. (Buku Tematik 1–9)</w:t>
      </w:r>
    </w:p>
    <w:p>
      <w:pPr>
        <w:pStyle w:val="ListParagraph"/>
        <w:numPr>
          <w:ilvl w:val="0"/>
          <w:numId w:val="1"/>
        </w:numPr>
        <w:spacing w:after="90"/>
      </w:pPr>
      <w:r>
        <w:t xml:space="preserve">Communicator — mampu menjalin komunikasi mendalam dan personal, baik dengan pasien, keluarga pasien, kolega, maupun masyarakat. (Bab VI di atas, Buku Tematik 1)</w:t>
      </w:r>
    </w:p>
    <w:p>
      <w:pPr>
        <w:pStyle w:val="ListParagraph"/>
        <w:numPr>
          <w:ilvl w:val="0"/>
          <w:numId w:val="1"/>
        </w:numPr>
        <w:spacing w:after="90"/>
      </w:pPr>
      <w:r>
        <w:t xml:space="preserve">Decision Maker — menjadi penyambung keputusan yang terbaik untuk keselamatan dan keamanan pasien, mempertimbangkan aspek sosial, spiritual, dan kultural. (Buku Tematik 1, 7)</w:t>
      </w:r>
    </w:p>
    <w:p>
      <w:pPr>
        <w:pStyle w:val="ListParagraph"/>
        <w:numPr>
          <w:ilvl w:val="0"/>
          <w:numId w:val="1"/>
        </w:numPr>
        <w:spacing w:after="90"/>
      </w:pPr>
      <w:r>
        <w:t xml:space="preserve">Manager — memiliki kemampuan manajerial sehingga mampu bekerja sama dalam sistem kesehatan multidisiplin. (Buku Tematik 11)</w:t>
      </w:r>
    </w:p>
    <w:p>
      <w:pPr>
        <w:pStyle w:val="ListParagraph"/>
        <w:numPr>
          <w:ilvl w:val="0"/>
          <w:numId w:val="1"/>
        </w:numPr>
        <w:spacing w:after="90"/>
      </w:pPr>
      <w:r>
        <w:t xml:space="preserve">Community Leader — mampu menjadi pemimpin di tingkat layanan primer, terutama dalam hal pencegahan penyakit, bukan semata pengobatan. (Buku Tematik 8, 11)</w:t>
      </w:r>
    </w:p>
    <w:p>
      <w:pPr>
        <w:pStyle w:val="Heading1"/>
        <w:spacing w:after="150" w:before="300"/>
      </w:pPr>
      <w:r>
        <w:t xml:space="preserve">BAB VIII — PETA EKOSISTEM BUKU</w:t>
      </w:r>
    </w:p>
    <w:p>
      <w:pPr>
        <w:spacing w:after="160" w:before="40"/>
        <w:jc w:val="both"/>
      </w:pPr>
      <w:r>
        <w:rPr>
          <w:i/>
          <w:iCs/>
          <w:color w:val="2C3A64"/>
          <w:sz w:val="24"/>
          <w:szCs w:val="24"/>
        </w:rPr>
        <w:t xml:space="preserve">Sekarang setelah tujuh area dan lima peran dikenal, saatnya melihat bagaimana keduanya diterjemahkan menjadi buku-buku nyata yang akan Anda baca sepanjang pendidikan.</w:t>
      </w:r>
    </w:p>
    <w:p>
      <w:pPr>
        <w:spacing w:after="160"/>
        <w:jc w:val="both"/>
      </w:pPr>
      <w:r>
        <w:t xml:space="preserve">Berbeda dari pola ekosistem buku pendidikan spesialis berbasis rumah sakit yang membagi buku tematik ke dalam Klaster Rumah Sakit dan Klaster Masyarakat, ekosistem SpKKLP menggantikan Klaster Rumah Sakit dengan Klaster Layanan Primer — karena wahana pendidikan utama program ini adalah fasilitas kesehatan tingkat pertama, bukan rumah sakit.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2C3A64" w:val="clear"/>
          </w:tcPr>
          <w:p>
            <w:r>
              <w:rPr>
                <w:b/>
                <w:bCs/>
                <w:color w:val="FFFFFF"/>
              </w:rPr>
              <w:t xml:space="preserve">Klaster</w:t>
            </w:r>
          </w:p>
        </w:tc>
        <w:tc>
          <w:tcPr>
            <w:tcW w:type="dxa" w:w="3000"/>
            <w:shd w:fill="2C3A64" w:val="clear"/>
          </w:tcPr>
          <w:p>
            <w:r>
              <w:rPr>
                <w:b/>
                <w:bCs/>
                <w:color w:val="FFFFFF"/>
              </w:rPr>
              <w:t xml:space="preserve">Isi</w:t>
            </w:r>
          </w:p>
        </w:tc>
        <w:tc>
          <w:tcPr>
            <w:tcW w:type="dxa" w:w="3000"/>
            <w:shd w:fill="2C3A64" w:val="clear"/>
          </w:tcPr>
          <w:p>
            <w:r>
              <w:rPr>
                <w:b/>
                <w:bCs/>
                <w:color w:val="FFFFFF"/>
              </w:rPr>
              <w:t xml:space="preserve">Konsumen Utama</w:t>
            </w:r>
          </w:p>
        </w:tc>
      </w:tr>
      <w:tr>
        <w:tc>
          <w:tcPr>
            <w:tcW w:type="dxa" w:w="3000"/>
          </w:tcPr>
          <w:p>
            <w:r>
              <w:t xml:space="preserve">Buku Utama</w:t>
            </w:r>
          </w:p>
        </w:tc>
        <w:tc>
          <w:tcPr>
            <w:tcW w:type="dxa" w:w="3000"/>
          </w:tcPr>
          <w:p>
            <w:r>
              <w:t xml:space="preserve">Orientasi peta kompetensi (buku ini)</w:t>
            </w:r>
          </w:p>
        </w:tc>
        <w:tc>
          <w:tcPr>
            <w:tcW w:type="dxa" w:w="3000"/>
          </w:tcPr>
          <w:p>
            <w:r>
              <w:t xml:space="preserve">Seluruh peserta didik</w:t>
            </w:r>
          </w:p>
        </w:tc>
      </w:tr>
      <w:tr>
        <w:tc>
          <w:tcPr>
            <w:tcW w:type="dxa" w:w="3000"/>
          </w:tcPr>
          <w:p>
            <w:r>
              <w:t xml:space="preserve">Klaster Digital</w:t>
            </w:r>
          </w:p>
        </w:tc>
        <w:tc>
          <w:tcPr>
            <w:tcW w:type="dxa" w:w="3000"/>
          </w:tcPr>
          <w:p>
            <w:r>
              <w:t xml:space="preserve">11 buku tematik — kelompok Area f (keterampilan klinis) dan Area g (spektrum penyakit layanan primer)</w:t>
            </w:r>
          </w:p>
        </w:tc>
        <w:tc>
          <w:tcPr>
            <w:tcW w:type="dxa" w:w="3000"/>
          </w:tcPr>
          <w:p>
            <w:r>
              <w:t xml:space="preserve">Peserta didik &amp; pembimbing klinis</w:t>
            </w:r>
          </w:p>
        </w:tc>
      </w:tr>
      <w:tr>
        <w:tc>
          <w:tcPr>
            <w:tcW w:type="dxa" w:w="3000"/>
          </w:tcPr>
          <w:p>
            <w:r>
              <w:t xml:space="preserve">Klaster Layanan Primer</w:t>
            </w:r>
          </w:p>
        </w:tc>
        <w:tc>
          <w:tcPr>
            <w:tcW w:type="dxa" w:w="3000"/>
          </w:tcPr>
          <w:p>
            <w:r>
              <w:t xml:space="preserve">6 dokumen kebijakan pendidikan klinis di wahana FKTP</w:t>
            </w:r>
          </w:p>
        </w:tc>
        <w:tc>
          <w:tcPr>
            <w:tcW w:type="dxa" w:w="3000"/>
          </w:tcPr>
          <w:p>
            <w:r>
              <w:t xml:space="preserve">Bagian diklat wahana, komite medik, prodi</w:t>
            </w:r>
          </w:p>
        </w:tc>
      </w:tr>
      <w:tr>
        <w:tc>
          <w:tcPr>
            <w:tcW w:type="dxa" w:w="3000"/>
          </w:tcPr>
          <w:p>
            <w:r>
              <w:t xml:space="preserve">Klaster Masyarakat</w:t>
            </w:r>
          </w:p>
        </w:tc>
        <w:tc>
          <w:tcPr>
            <w:tcW w:type="dxa" w:w="3000"/>
          </w:tcPr>
          <w:p>
            <w:r>
              <w:t xml:space="preserve">3 buku edukasi publik</w:t>
            </w:r>
          </w:p>
        </w:tc>
        <w:tc>
          <w:tcPr>
            <w:tcW w:type="dxa" w:w="3000"/>
          </w:tcPr>
          <w:p>
            <w:r>
              <w:t xml:space="preserve">Masyarakat umum</w:t>
            </w:r>
          </w:p>
        </w:tc>
      </w:tr>
    </w:tbl>
    <w:p>
      <w:pPr>
        <w:spacing w:after="160"/>
      </w:pPr>
    </w:p>
    <w:p>
      <w:pPr>
        <w:pStyle w:val="Heading1"/>
        <w:spacing w:after="150" w:before="300"/>
      </w:pPr>
      <w:r>
        <w:t xml:space="preserve">BAB IX — PRINSIP PEMBELAJARAN BERTAHAP SEPANJANG EMPAT TAHUN</w:t>
      </w:r>
    </w:p>
    <w:p>
      <w:pPr>
        <w:spacing w:after="160" w:before="40"/>
        <w:jc w:val="both"/>
      </w:pPr>
      <w:r>
        <w:rPr>
          <w:i/>
          <w:iCs/>
          <w:color w:val="2C3A64"/>
          <w:sz w:val="24"/>
          <w:szCs w:val="24"/>
        </w:rPr>
        <w:t xml:space="preserve">Tahun pertama Anda tidak akan terlihat sama dengan tahun keempat — dan memang seharusnya begitu.</w:t>
      </w:r>
    </w:p>
    <w:p>
      <w:pPr>
        <w:spacing w:after="160"/>
        <w:jc w:val="both"/>
      </w:pPr>
      <w:r>
        <w:t xml:space="preserve">Sejalan dengan durasi pendidikan spesialis kedokteran keluarga layanan primer di Indonesia yang ditempuh selama empat tahun, kompetensi dalam ekosistem buku ini disusun dengan prinsip peningkatan bertahap.</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Tahap Pendidikan</w:t>
            </w:r>
          </w:p>
        </w:tc>
        <w:tc>
          <w:tcPr>
            <w:tcW w:type="dxa" w:w="4500"/>
            <w:shd w:fill="2C3A64" w:val="clear"/>
          </w:tcPr>
          <w:p>
            <w:r>
              <w:rPr>
                <w:b/>
                <w:bCs/>
                <w:color w:val="FFFFFF"/>
              </w:rPr>
              <w:t xml:space="preserve">Fokus Utama (indikatif)</w:t>
            </w:r>
          </w:p>
        </w:tc>
      </w:tr>
      <w:tr>
        <w:tc>
          <w:tcPr>
            <w:tcW w:type="dxa" w:w="4500"/>
          </w:tcPr>
          <w:p>
            <w:r>
              <w:t xml:space="preserve">Tahun I</w:t>
            </w:r>
          </w:p>
        </w:tc>
        <w:tc>
          <w:tcPr>
            <w:tcW w:type="dxa" w:w="4500"/>
          </w:tcPr>
          <w:p>
            <w:r>
              <w:t xml:space="preserve">Fondasi pendekatan holistik dan berpusat pada pasien (Buku Tematik 1); pengenalan Area Kompetensi a-c-d secara aplikatif; kasus umum berisiko rendah dengan supervisi langsung.</w:t>
            </w:r>
          </w:p>
        </w:tc>
      </w:tr>
      <w:tr>
        <w:tc>
          <w:tcPr>
            <w:tcW w:type="dxa" w:w="4500"/>
          </w:tcPr>
          <w:p>
            <w:r>
              <w:t xml:space="preserve">Tahun II</w:t>
            </w:r>
          </w:p>
        </w:tc>
        <w:tc>
          <w:tcPr>
            <w:tcW w:type="dxa" w:w="4500"/>
          </w:tcPr>
          <w:p>
            <w:r>
              <w:t xml:space="preserve">Pendalaman pengelolaan penyakit kronik lazim (Buku Tematik 2-4); kasus dengan komorbiditas sederhana; supervisi tidak langsung meningkat.</w:t>
            </w:r>
          </w:p>
        </w:tc>
      </w:tr>
      <w:tr>
        <w:tc>
          <w:tcPr>
            <w:tcW w:type="dxa" w:w="4500"/>
          </w:tcPr>
          <w:p>
            <w:r>
              <w:t xml:space="preserve">Tahun III</w:t>
            </w:r>
          </w:p>
        </w:tc>
        <w:tc>
          <w:tcPr>
            <w:tcW w:type="dxa" w:w="4500"/>
          </w:tcPr>
          <w:p>
            <w:r>
              <w:t xml:space="preserve">Pengelolaan kasus kompleks dan kelompok berisiko khusus (Buku Tematik 5-7, 9); kepekaan rujukan berjenjang; mulai membimbing peserta didik junior.</w:t>
            </w:r>
          </w:p>
        </w:tc>
      </w:tr>
      <w:tr>
        <w:tc>
          <w:tcPr>
            <w:tcW w:type="dxa" w:w="4500"/>
          </w:tcPr>
          <w:p>
            <w:r>
              <w:t xml:space="preserve">Tahun IV</w:t>
            </w:r>
          </w:p>
        </w:tc>
        <w:tc>
          <w:tcPr>
            <w:tcW w:type="dxa" w:w="4500"/>
          </w:tcPr>
          <w:p>
            <w:r>
              <w:t xml:space="preserve">Kemandirian penuh dalam pengelolaan layanan primer, kepemimpinan tim dan komunitas (Buku Tematik 8, 10-11); persiapan transisi menjadi spesialis mandiri.</w:t>
            </w:r>
          </w:p>
        </w:tc>
      </w:tr>
    </w:tbl>
    <w:p>
      <w:pPr>
        <w:spacing w:after="160"/>
      </w:pPr>
    </w:p>
    <w:p>
      <w:pPr>
        <w:pBdr>
          <w:left w:val="single" w:color="A9812F" w:sz="24"/>
        </w:pBdr>
        <w:shd w:fill="FBEFD9" w:val="clear"/>
        <w:spacing w:after="200" w:before="100"/>
        <w:ind w:left="200"/>
      </w:pPr>
      <w:r>
        <w:rPr>
          <w:b/>
          <w:bCs/>
          <w:color w:val="8A6410"/>
        </w:rPr>
        <w:t xml:space="preserve">⚠ TINJAU TENAGA KESEHATAN — </w:t>
      </w:r>
      <w:r>
        <w:rPr>
          <w:i/>
          <w:iCs/>
        </w:rPr>
        <w:t xml:space="preserve">tabel penjenjangan empat tahun di atas bersifat indikatif dan wajib diselaraskan dengan Matriks Kewenangan Klinis Bertingkat resmi institusi (Dokumen P4) serta ketentuan definitif Perkonsil 65/2019 yang berlaku di program studi masing-masing.</w:t>
      </w:r>
    </w:p>
    <w:p>
      <w:pPr>
        <w:pStyle w:val="Heading2"/>
        <w:spacing w:after="120" w:before="250"/>
      </w:pPr>
      <w:r>
        <w:t xml:space="preserve">C. Definisi Resmi Tingkat Kemampuan (Lampiran IV, Perkonsil 65/2019)</w:t>
      </w:r>
    </w:p>
    <w:p>
      <w:pPr>
        <w:spacing w:after="160"/>
        <w:jc w:val="both"/>
      </w:pPr>
      <w:r>
        <w:t xml:space="preserve">Notasi tingkat kemampuan (1, 2, 3A, 3B, 4A, 4B) yang muncul berulang di seluruh Buku Tematik ekosistem ini merujuk pada definisi resmi Lampiran IV Peraturan Konsil Kedokteran Indonesia Nomor 65 Tahun 2019, bagian A (Definisi Tingkat Kemampuan Pengetahuan). Definisi berikut dikutip mengikuti substansi resmi dokumen tersebut.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2C3A64" w:val="clear"/>
          </w:tcPr>
          <w:p>
            <w:r>
              <w:rPr>
                <w:b/>
                <w:bCs/>
                <w:color w:val="FFFFFF"/>
              </w:rPr>
              <w:t xml:space="preserve">Tingkat</w:t>
            </w:r>
          </w:p>
        </w:tc>
        <w:tc>
          <w:tcPr>
            <w:tcW w:type="dxa" w:w="3000"/>
            <w:shd w:fill="2C3A64" w:val="clear"/>
          </w:tcPr>
          <w:p>
            <w:r>
              <w:rPr>
                <w:b/>
                <w:bCs/>
                <w:color w:val="FFFFFF"/>
              </w:rPr>
              <w:t xml:space="preserve">Makna Inti</w:t>
            </w:r>
          </w:p>
        </w:tc>
        <w:tc>
          <w:tcPr>
            <w:tcW w:type="dxa" w:w="3000"/>
            <w:shd w:fill="2C3A64" w:val="clear"/>
          </w:tcPr>
          <w:p>
            <w:r>
              <w:rPr>
                <w:b/>
                <w:bCs/>
                <w:color w:val="FFFFFF"/>
              </w:rPr>
              <w:t xml:space="preserve">Kemampuan Lulusan</w:t>
            </w:r>
          </w:p>
        </w:tc>
      </w:tr>
      <w:tr>
        <w:tc>
          <w:tcPr>
            <w:tcW w:type="dxa" w:w="3000"/>
          </w:tcPr>
          <w:p>
            <w:r>
              <w:t xml:space="preserve">1</w:t>
            </w:r>
          </w:p>
        </w:tc>
        <w:tc>
          <w:tcPr>
            <w:tcW w:type="dxa" w:w="3000"/>
          </w:tcPr>
          <w:p>
            <w:r>
              <w:t xml:space="preserve">Mengenali dan menjelaskan</w:t>
            </w:r>
          </w:p>
        </w:tc>
        <w:tc>
          <w:tcPr>
            <w:tcW w:type="dxa" w:w="3000"/>
          </w:tcPr>
          <w:p>
            <w:r>
              <w:t xml:space="preserve">Mengenali gambaran klinis penyakit sebagai kemungkinan diagnosis dan mengetahui cara mendapatkan informasi lebih lanjut; merencanakan rujukan yang tepat; memberi dukungan psikososial pra-rujukan; menindaklanjuti arahan dokter di fasilitas rujukan secara kolaboratif.</w:t>
            </w:r>
          </w:p>
        </w:tc>
      </w:tr>
      <w:tr>
        <w:tc>
          <w:tcPr>
            <w:tcW w:type="dxa" w:w="3000"/>
          </w:tcPr>
          <w:p>
            <w:r>
              <w:t xml:space="preserve">2</w:t>
            </w:r>
          </w:p>
        </w:tc>
        <w:tc>
          <w:tcPr>
            <w:tcW w:type="dxa" w:w="3000"/>
          </w:tcPr>
          <w:p>
            <w:r>
              <w:t xml:space="preserve">Mendiagnosis dan merujuk</w:t>
            </w:r>
          </w:p>
        </w:tc>
        <w:tc>
          <w:tcPr>
            <w:tcW w:type="dxa" w:w="3000"/>
          </w:tcPr>
          <w:p>
            <w:r>
              <w:t xml:space="preserve">Menegakkan diagnosis biopsikososial untuk deteksi dini; merencanakan rujukan yang tepat; memberi dukungan psikososial; menindaklanjuti tatalaksana secara kolaboratif dengan Fasilitas Kesehatan Rujukan Tingkat Lanjut.</w:t>
            </w:r>
          </w:p>
        </w:tc>
      </w:tr>
      <w:tr>
        <w:tc>
          <w:tcPr>
            <w:tcW w:type="dxa" w:w="3000"/>
          </w:tcPr>
          <w:p>
            <w:r>
              <w:t xml:space="preserve">3A</w:t>
            </w:r>
          </w:p>
        </w:tc>
        <w:tc>
          <w:tcPr>
            <w:tcW w:type="dxa" w:w="3000"/>
          </w:tcPr>
          <w:p>
            <w:r>
              <w:t xml:space="preserve">Mendiagnosis, tatalaksana awal, dan merujuk — bukan kasus gawat darurat</w:t>
            </w:r>
          </w:p>
        </w:tc>
        <w:tc>
          <w:tcPr>
            <w:tcW w:type="dxa" w:w="3000"/>
          </w:tcPr>
          <w:p>
            <w:r>
              <w:t xml:space="preserve">Menegakkan diagnosis biopsikososial; memberikan tatalaksana awal pada kondisi bukan gawat darurat; merujuk bila perlu; melengkapi tatalaksana secara komprehensif melibatkan pasien dan keluarga secara aktif.</w:t>
            </w:r>
          </w:p>
        </w:tc>
      </w:tr>
      <w:tr>
        <w:tc>
          <w:tcPr>
            <w:tcW w:type="dxa" w:w="3000"/>
          </w:tcPr>
          <w:p>
            <w:r>
              <w:t xml:space="preserve">3B</w:t>
            </w:r>
          </w:p>
        </w:tc>
        <w:tc>
          <w:tcPr>
            <w:tcW w:type="dxa" w:w="3000"/>
          </w:tcPr>
          <w:p>
            <w:r>
              <w:t xml:space="preserve">Mendiagnosis, tatalaksana awal, dan merujuk — kasus gawat darurat</w:t>
            </w:r>
          </w:p>
        </w:tc>
        <w:tc>
          <w:tcPr>
            <w:tcW w:type="dxa" w:w="3000"/>
          </w:tcPr>
          <w:p>
            <w:r>
              <w:t xml:space="preserve">Sama seperti 3A, namun pada kondisi gawat darurat yang memerlukan tatalaksana awal segera sebelum atau bersamaan dengan proses rujukan.</w:t>
            </w:r>
          </w:p>
        </w:tc>
      </w:tr>
      <w:tr>
        <w:tc>
          <w:tcPr>
            <w:tcW w:type="dxa" w:w="3000"/>
          </w:tcPr>
          <w:p>
            <w:r>
              <w:t xml:space="preserve">4A</w:t>
            </w:r>
          </w:p>
        </w:tc>
        <w:tc>
          <w:tcPr>
            <w:tcW w:type="dxa" w:w="3000"/>
          </w:tcPr>
          <w:p>
            <w:r>
              <w:t xml:space="preserve">Mendiagnosis dan tatalaksana mandiri secara tuntas</w:t>
            </w:r>
          </w:p>
        </w:tc>
        <w:tc>
          <w:tcPr>
            <w:tcW w:type="dxa" w:w="3000"/>
          </w:tcPr>
          <w:p>
            <w:r>
              <w:t xml:space="preserve">Menegakkan diagnosis biopsikososial; memberikan tatalaksana komprehensif secara mandiri sesuai kondisi pasien; melakukan monitoring dan evaluasi berkelanjutan bersama keluarga, masyarakat, dan tenaga kesehatan lain sebagai koordinator pelayanan.</w:t>
            </w:r>
          </w:p>
        </w:tc>
      </w:tr>
      <w:tr>
        <w:tc>
          <w:tcPr>
            <w:tcW w:type="dxa" w:w="3000"/>
          </w:tcPr>
          <w:p>
            <w:r>
              <w:t xml:space="preserve">4B</w:t>
            </w:r>
          </w:p>
        </w:tc>
        <w:tc>
          <w:tcPr>
            <w:tcW w:type="dxa" w:w="3000"/>
          </w:tcPr>
          <w:p>
            <w:r>
              <w:t xml:space="preserve">Kompetensi tambahan bersertifikat</w:t>
            </w:r>
          </w:p>
        </w:tc>
        <w:tc>
          <w:tcPr>
            <w:tcW w:type="dxa" w:w="3000"/>
          </w:tcPr>
          <w:p>
            <w:r>
              <w:t xml:space="preserve">Kompetensi yang diperoleh setelah pelatihan khusus tersertifikasi oleh Kolegium dan bersifat pilihan (tidak wajib bagi seluruh lulusan).</w:t>
            </w:r>
          </w:p>
        </w:tc>
      </w:tr>
    </w:tbl>
    <w:p>
      <w:pPr>
        <w:spacing w:after="160"/>
      </w:pPr>
    </w:p>
    <w:p>
      <w:pPr>
        <w:spacing w:after="160"/>
        <w:jc w:val="both"/>
      </w:pPr>
      <w:r>
        <w:t xml:space="preserve">Definisi tingkat keterampilan (bagian B Lampiran IV yang sama) menggunakan skala serupa dengan penekanan berbeda: Tingkat 1 (mengetahui dan menjelaskan prinsip, indikasi, dan komplikasi), Tingkat 2 (pernah melihat/didemonstrasikan, dengan penekanan clinical reasoning), Tingkat 3 (pernah melakukan atau menerapkan di bawah supervisi, termasuk berlatih pada alat peraga/pasien standar), Tingkat 4A (mampu melakukan secara mandiri sebagai kemahiran pascapendidikan spesialis), dan Tingkat 4B (kompetensi tambahan bersertifikat Kolegium, bersifat pilihan).</w:t>
      </w:r>
    </w:p>
    <w:p>
      <w:pPr>
        <w:pBdr>
          <w:left w:val="single" w:color="A9812F" w:sz="24"/>
        </w:pBdr>
        <w:shd w:fill="FBEFD9" w:val="clear"/>
        <w:spacing w:after="200" w:before="100"/>
        <w:ind w:left="200"/>
      </w:pPr>
      <w:r>
        <w:rPr>
          <w:b/>
          <w:bCs/>
          <w:color w:val="8A6410"/>
        </w:rPr>
        <w:t xml:space="preserve">⚠ TINJAU TENAGA KESEHATAN — </w:t>
      </w:r>
      <w:r>
        <w:rPr>
          <w:i/>
          <w:iCs/>
        </w:rPr>
        <w:t xml:space="preserve">Lampiran IV Perkonsil 65/2019 secara eksplisit menyatakan: tingkat kemampuan dan keterampilan sistem organ yang tidak ditulis secara khusus di lampiran Standar Kompetensi Dokter Spesialis Kedokteran Keluarga Layanan Primer mengikuti Standar Kompetensi Dokter Indonesia (SKDI) yang berlaku umum. Lampiran V (tabel penyakit per tingkat kemampuan) hanya memuat delapan sistem organ secara eksplisit: Psikiatri, Indera Mata, THT-KL, Respirasi, Bedah/Perioperatif, Kardiovaskular, Saraf, dan Kedokteran Fisik &amp; Rehabilitasi Medik — topik di luar delapan sistem tersebut (termasuk sebagian topik metabolik-endokrin, gastrointestinal, muskuloskeletal non-rehabilitasi, dan lainnya) mengacu ke SKDI, dokumen terpisah yang belum tersedia dalam ekosistem ini. Angka tingkat kemampuan presisi per penyakit pada tabel Lampiran V dan VI sumber asli masih memerlukan verifikasi manual tambahan karena struktur tabel berkolom banyak pada dokumen sumber rentan salah baca saat diekstraksi menjadi teks; buku-buku tematik pada ekosistem ini karenanya tetap menyajikan tingkat kemampuan per topik sebagai prinsip umum yang wajib ditinjau ulang, bukan kutipan angka presisi dari tabel tersebut.</w:t>
      </w:r>
    </w:p>
    <w:p>
      <w:pPr>
        <w:pStyle w:val="Heading1"/>
        <w:spacing w:after="150" w:before="300"/>
      </w:pPr>
      <w:r>
        <w:t xml:space="preserve">BAB X — SISTEM PENILAIAN DAN PORTOFOLIO PEMBELAJARAN</w:t>
      </w:r>
    </w:p>
    <w:p>
      <w:pPr>
        <w:spacing w:after="160" w:before="40"/>
        <w:jc w:val="both"/>
      </w:pPr>
      <w:r>
        <w:rPr>
          <w:i/>
          <w:iCs/>
          <w:color w:val="2C3A64"/>
          <w:sz w:val="24"/>
          <w:szCs w:val="24"/>
        </w:rPr>
        <w:t xml:space="preserve">Kompetensi Anda tidak akan dinilai dari satu ujian besar di akhir — melainkan dari jejak pembelajaran yang terkumpul sedikit demi sedikit, kunjungan demi kunjungan.</w:t>
      </w:r>
    </w:p>
    <w:p>
      <w:pPr>
        <w:spacing w:after="160"/>
        <w:jc w:val="both"/>
      </w:pPr>
      <w:r>
        <w:t xml:space="preserve">Standar Penilaian Program Pendidikan mengatur bagaimana capaian kompetensi peserta didik dinilai secara berkelanjutan sepanjang empat tahun, bukan hanya melalui ujian akhir tunggal.</w:t>
      </w:r>
    </w:p>
    <w:p>
      <w:pPr>
        <w:pStyle w:val="ListParagraph"/>
        <w:numPr>
          <w:ilvl w:val="0"/>
          <w:numId w:val="1"/>
        </w:numPr>
        <w:spacing w:after="90"/>
      </w:pPr>
      <w:r>
        <w:t xml:space="preserve">Penilaian formatif berkelanjutan melalui observasi langsung (mis. Mini-Clinical Evaluation Exercise, Direct Observation of Procedural Skills — dibahas rinci pada Dokumen P6).</w:t>
      </w:r>
    </w:p>
    <w:p>
      <w:pPr>
        <w:pStyle w:val="ListParagraph"/>
        <w:numPr>
          <w:ilvl w:val="0"/>
          <w:numId w:val="1"/>
        </w:numPr>
        <w:spacing w:after="90"/>
      </w:pPr>
      <w:r>
        <w:t xml:space="preserve">Portofolio pembelajaran yang mendokumentasikan kasus yang ditangani, refleksi pembelajaran (Bab V di atas), dan pencapaian kompetensi bertahap.</w:t>
      </w:r>
    </w:p>
    <w:p>
      <w:pPr>
        <w:pStyle w:val="ListParagraph"/>
        <w:numPr>
          <w:ilvl w:val="0"/>
          <w:numId w:val="1"/>
        </w:numPr>
        <w:spacing w:after="90"/>
      </w:pPr>
      <w:r>
        <w:t xml:space="preserve">Penilaian sumatif pada penanda tahap pendidikan tertentu, menentukan kelayakan kenaikan tingkat kewenangan klinis.</w:t>
      </w:r>
    </w:p>
    <w:p>
      <w:pPr>
        <w:pStyle w:val="ListParagraph"/>
        <w:numPr>
          <w:ilvl w:val="0"/>
          <w:numId w:val="1"/>
        </w:numPr>
        <w:spacing w:after="90"/>
      </w:pPr>
      <w:r>
        <w:t xml:space="preserve">Umpan balik multi-sumber (multisource feedback) dari pembimbing, sejawat, tenaga kesehatan lain, dan pasien.</w:t>
      </w:r>
    </w:p>
    <w:p>
      <w:pPr>
        <w:pStyle w:val="Heading1"/>
        <w:spacing w:after="150" w:before="300"/>
      </w:pPr>
      <w:r>
        <w:t xml:space="preserve">BAB XI — PENUTUP</w:t>
      </w:r>
    </w:p>
    <w:p>
      <w:pPr>
        <w:spacing w:after="160"/>
        <w:jc w:val="both"/>
      </w:pPr>
      <w:r>
        <w:t xml:space="preserve">Peserta didik disarankan mempelajari buku-buku dalam ekosistem ini secara berurutan: dimulai dari buku ini (Orientasi), dilanjutkan dengan buku tematik Klaster Digital kelompok Area f (keterampilan klinis dasar) sebagai fondasi, kemudian kelompok Area g (spektrum penyakit dan masalah kesehatan layanan primer) yang menjadi porsi terbesar, dan diakhiri dengan buku manajemen praktik dan kepemimpinan layanan primer.</w:t>
      </w:r>
    </w:p>
    <w:p>
      <w:pPr>
        <w:pStyle w:val="Heading2"/>
        <w:spacing w:after="120" w:before="250"/>
      </w:pPr>
      <w:r>
        <w:t xml:space="preserve">Glosarium</w:t>
      </w:r>
    </w:p>
    <w:p>
      <w:pPr>
        <w:spacing w:after="90"/>
      </w:pPr>
      <w:r>
        <w:rPr>
          <w:b/>
          <w:bCs/>
        </w:rPr>
        <w:t xml:space="preserve">FKTP — </w:t>
      </w:r>
      <w:r>
        <w:t xml:space="preserve">Fasilitas Kesehatan Tingkat Pertama — Puskesmas, klinik pratama, dan praktik dokter keluarga jejaring.</w:t>
      </w:r>
    </w:p>
    <w:p>
      <w:pPr>
        <w:spacing w:after="90"/>
      </w:pPr>
      <w:r>
        <w:rPr>
          <w:b/>
          <w:bCs/>
        </w:rPr>
        <w:t xml:space="preserve">KKI — </w:t>
      </w:r>
      <w:r>
        <w:t xml:space="preserve">Konsil Kedokteran Indonesia.</w:t>
      </w:r>
    </w:p>
    <w:p>
      <w:pPr>
        <w:spacing w:after="90"/>
      </w:pPr>
      <w:r>
        <w:rPr>
          <w:b/>
          <w:bCs/>
        </w:rPr>
        <w:t xml:space="preserve">SpKKLP — </w:t>
      </w:r>
      <w:r>
        <w:t xml:space="preserve">Dokter Spesialis Kedokteran Keluarga Layanan Primer.</w:t>
      </w:r>
    </w:p>
    <w:p>
      <w:pPr>
        <w:spacing w:after="90"/>
      </w:pPr>
      <w:r>
        <w:rPr>
          <w:b/>
          <w:bCs/>
        </w:rPr>
        <w:t xml:space="preserve">PPDS — </w:t>
      </w:r>
      <w:r>
        <w:t xml:space="preserve">Program Pendidikan Dokter Spesialis.</w:t>
      </w:r>
    </w:p>
    <w:p>
      <w:pPr>
        <w:spacing w:after="90"/>
      </w:pPr>
      <w:r>
        <w:rPr>
          <w:b/>
          <w:bCs/>
        </w:rPr>
        <w:t xml:space="preserve">Area Kompetensi — </w:t>
      </w:r>
      <w:r>
        <w:t xml:space="preserve">Kelompok besar capaian pembelajaran dalam Standar Kompetensi; SpKKLP memiliki tujuh Area Kompetensi (lihat Bab III).</w:t>
      </w:r>
    </w:p>
    <w:p>
      <w:pPr>
        <w:spacing w:after="90"/>
      </w:pPr>
      <w:r>
        <w:rPr>
          <w:b/>
          <w:bCs/>
        </w:rPr>
        <w:t xml:space="preserve">Five-Star Doctor — </w:t>
      </w:r>
      <w:r>
        <w:t xml:space="preserve">Kerangka WHO atas lima peran dokter layanan primer: Care Provider, Communicator, Decision Maker, Manager, Community Leader (lihat Bab VII).</w:t>
      </w:r>
    </w:p>
    <w:p>
      <w:pPr>
        <w:spacing w:after="90"/>
      </w:pPr>
      <w:r>
        <w:rPr>
          <w:b/>
          <w:bCs/>
        </w:rPr>
        <w:t xml:space="preserve">Praktik Reflektif — </w:t>
      </w:r>
      <w:r>
        <w:t xml:space="preserve">Proses menganalisis pengalaman klinis sendiri secara terstruktur sebagai bahan pembelajaran berkelanjutan.</w:t>
      </w:r>
    </w:p>
    <w:p>
      <w:pPr>
        <w:spacing w:after="90"/>
      </w:pPr>
      <w:r>
        <w:rPr>
          <w:b/>
          <w:bCs/>
        </w:rPr>
        <w:t xml:space="preserve">CPD — </w:t>
      </w:r>
      <w:r>
        <w:t xml:space="preserve">Continuing Professional Development — pengembangan profesional berkelanjutan sepanjang karier, melampaui masa pendidikan formal.</w:t>
      </w:r>
    </w:p>
    <w:p>
      <w:pPr>
        <w:spacing w:after="90"/>
      </w:pPr>
      <w:r>
        <w:rPr>
          <w:b/>
          <w:bCs/>
        </w:rPr>
        <w:t xml:space="preserve">Multisource Feedback — </w:t>
      </w:r>
      <w:r>
        <w:t xml:space="preserve">Umpan balik penilaian kompetensi dari berbagai sumber: pembimbing, sejawat, tenaga kesehatan lain, dan pasien.</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 tentang Standar Pendidikan Profesi Dokter Spesialis Kedokteran Keluarga Layanan Primer. Berita Negara Republik Indonesia Tahun 2019 Nomor 1208. Salinan resmi (basis data resmi peraturan perundang-undangan Republik Indonesia): https://peraturan.go.id/id/peraturan-kki-no-65-tahun-2019</w:t>
      </w:r>
    </w:p>
    <w:p>
      <w:pPr>
        <w:spacing w:after="90"/>
        <w:ind w:left="360" w:hanging="360"/>
      </w:pPr>
      <w:r>
        <w:t xml:space="preserve">Undang-Undang Nomor 29 Tahun 2004 tentang Praktik Kedokteran.</w:t>
      </w:r>
    </w:p>
    <w:p>
      <w:pPr>
        <w:spacing w:after="90"/>
        <w:ind w:left="360" w:hanging="360"/>
      </w:pPr>
      <w:r>
        <w:t xml:space="preserve">Undang-Undang Nomor 20 Tahun 2013 tentang Pendidikan Kedokteran.</w:t>
      </w:r>
    </w:p>
    <w:p>
      <w:pPr>
        <w:spacing w:after="90"/>
        <w:ind w:left="360" w:hanging="360"/>
      </w:pPr>
      <w:r>
        <w:t xml:space="preserve">Catatan pembaruan (per 18 Juli 2026): salinan resmi Perkonsil Nomor 65 Tahun 2019 (229 halaman) telah berhasil diekstraksi menjadi teks yang dapat dibaca dan diverifikasi. Struktur 7 Area Kompetensi, tujuh belas komponen standar (Bab II), lima peran WHO Five-Star Doctor, dan definisi resmi tingkat kemampuan (Lampiran IV, lihat Bab IX bagian C) pada buku ini telah dikonfirmasi konsisten dengan dokumen tersebut. Catatan kejujuran: tabel penyakit per tingkat kemampuan (Lampiran V dan VI) memiliki struktur kolom kompleks yang rentan salah baca saat diekstraksi menjadi teks datar, sehingga angka tingkat kemampuan presisi per penyakit pada buku-buku tematik tetap disajikan sebagai prinsip umum yang wajib ditinjau ulang pembimbing klinis, bukan kutipan tabel yang sudah diverifikasi baris per baris. Lampiran V juga hanya memuat delapan sistem organ secara eksplisit (lihat Bab IX bagian C); topik di luar itu mengacu ke SKDI, dokumen terpisah yang belum tersedia.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2026-07-18T16:15:57.751Z</dcterms:created>
  <dcterms:modified xsi:type="dcterms:W3CDTF">2026-07-18T16:15:57.763Z</dcterms:modified>
</cp:coreProperties>
</file>

<file path=docProps/custom.xml><?xml version="1.0" encoding="utf-8"?>
<Properties xmlns="http://schemas.openxmlformats.org/officeDocument/2006/custom-properties" xmlns:vt="http://schemas.openxmlformats.org/officeDocument/2006/docPropsVTypes"/>
</file>