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jc w:val="center"/>
      </w:pPr>
      <w:r>
        <w:t xml:space="preserve">PERPUSTAKAAN DIGITAL ABBA</w:t>
      </w:r>
    </w:p>
    <w:p>
      <w:pPr>
        <w:jc w:val="center"/>
      </w:pPr>
      <w:r>
        <w:t xml:space="preserve">Jl. Kerinci Raya No. 9, Malang 65138</w:t>
      </w:r>
    </w:p>
    <w:p>
      <w:pPr>
        <w:spacing w:after="200"/>
      </w:pPr>
    </w:p>
    <w:p>
      <w:pPr>
        <w:jc w:val="center"/>
      </w:pPr>
      <w:r>
        <w:rPr>
          <w:sz w:val="20"/>
          <w:szCs w:val="20"/>
        </w:rPr>
        <w:t xml:space="preserve">Buku Tematik 9 dari Klaster Digital — Ekosistem Buku Pendidikan Dokter Spesialis Kedokteran Keluarga Layanan Primer (SpKKLP)</w:t>
      </w:r>
    </w:p>
    <w:p>
      <w:pPr>
        <w:spacing w:after="200"/>
      </w:pPr>
    </w:p>
    <w:p>
      <w:pPr>
        <w:jc w:val="center"/>
      </w:pPr>
      <w:r>
        <w:rPr>
          <w:b/>
          <w:bCs/>
          <w:sz w:val="36"/>
          <w:szCs w:val="36"/>
        </w:rPr>
        <w:t xml:space="preserve">Keterampilan Prosedural di Fasilitas Kesehatan Tingkat Pertama</w:t>
      </w:r>
    </w:p>
    <w:p>
      <w:pPr>
        <w:spacing w:after="400"/>
      </w:pPr>
    </w:p>
    <w:p>
      <w:pPr>
        <w:jc w:val="center"/>
      </w:pPr>
      <w:r>
        <w:t xml:space="preserve">Disusun oleh</w:t>
      </w:r>
    </w:p>
    <w:p>
      <w:pPr>
        <w:jc w:val="center"/>
      </w:pPr>
      <w:r>
        <w:rPr>
          <w:b/>
          <w:bCs/>
        </w:rPr>
        <w:t xml:space="preserve">Dr.dr. H. Budi Siswanto, Sp.OG, Subsp.Obginsos., SH., S.Kom.</w:t>
      </w:r>
    </w:p>
    <w:p>
      <w:pPr>
        <w:jc w:val="center"/>
      </w:pPr>
      <w:r>
        <w:t xml:space="preserve">2026</w:t>
      </w:r>
    </w:p>
    <w:p>
      <w:pPr>
        <w:pageBreakBefore/>
      </w:pPr>
    </w:p>
    <w:p>
      <w:pPr>
        <w:pStyle w:val="Heading1"/>
        <w:spacing w:after="150" w:before="300"/>
      </w:pPr>
      <w:r>
        <w:t xml:space="preserve">BAB I — PRINSIP UMUM KETERAMPILAN PROSEDURAL DI LAYANAN PRIMER</w:t>
      </w:r>
    </w:p>
    <w:p>
      <w:pPr>
        <w:spacing w:after="160" w:before="40"/>
        <w:jc w:val="both"/>
      </w:pPr>
      <w:r>
        <w:rPr>
          <w:i/>
          <w:iCs/>
          <w:color w:val="2C3A64"/>
          <w:sz w:val="24"/>
          <w:szCs w:val="24"/>
        </w:rPr>
        <w:t xml:space="preserve">Tangan yang terampil menjahit luka atau mengeluarkan benda asing sering kali menghindarkan pasien dari perjalanan jauh ke rumah sakit — tapi tangan yang sama harus tahu persis kapan berhenti dan merujuk.</w:t>
      </w:r>
    </w:p>
    <w:p>
      <w:pPr>
        <w:spacing w:after="160"/>
        <w:jc w:val="both"/>
      </w:pPr>
      <w:r>
        <w:t xml:space="preserve">Berbeda dari layanan sekunder-tersier dengan fasilitas lengkap, keterampilan prosedural di layanan primer menuntut kemampuan bekerja aman dengan sumber daya terbatas, penilaian indikasi yang tepat, serta pengenalan batas kewenangan kapan suatu prosedur harus dirujuk. Setiap prosedur dalam buku ini disusun berjenjang mengikuti Matriks Kewenangan Klinis Bertingkat (Dokumen P4).</w:t>
      </w:r>
    </w:p>
    <w:p>
      <w:pPr>
        <w:pBdr>
          <w:left w:val="single" w:color="A9812F" w:sz="24"/>
        </w:pBdr>
        <w:shd w:fill="FBEFD9" w:val="clear"/>
        <w:spacing w:after="200" w:before="100"/>
        <w:ind w:left="200"/>
      </w:pPr>
      <w:r>
        <w:rPr>
          <w:b/>
          <w:bCs/>
          <w:color w:val="8A6410"/>
        </w:rPr>
        <w:t xml:space="preserve">⚠ TINJAU TENAGA KESEHATAN — </w:t>
      </w:r>
      <w:r>
        <w:rPr>
          <w:i/>
          <w:iCs/>
        </w:rPr>
        <w:t xml:space="preserve">daftar prosedur dan tingkat kewenangan per tahun pendidikan pada bab-bab berikut bersifat kerangka umum. Status sumber (per 18 Juli 2026): salinan resmi Perkonsil 65/2019 kini dapat ditelusuri sebagai teks — Lampiran V memuat tabel keterampilan eksplisit untuk delapan sistem organ (termasuk bagian Bedah/Perioperatif yang relevan dengan keterampilan prosedural dasar), namun struktur tabel berkolom banyak pada dokumen sumber rentan salah baca saat diekstraksi menjadi teks datar, sehingga angka tingkat kemampuan presisi per prosedur belum diverifikasi baris per baris dan tidak dikutip langsung di buku ini. Lihat Buku Utama (U0) Bab IX bagian C untuk definisi resmi tingkat keterampilan yang berlaku umum.</w:t>
      </w:r>
    </w:p>
    <w:p>
      <w:pPr>
        <w:pStyle w:val="Heading1"/>
        <w:spacing w:after="150" w:before="300"/>
      </w:pPr>
      <w:r>
        <w:t xml:space="preserve">BAB II — PRINSIP KESELAMATAN TINDAKAN DAN INFORMED CONSENT</w:t>
      </w:r>
    </w:p>
    <w:p>
      <w:pPr>
        <w:spacing w:after="160" w:before="40"/>
        <w:jc w:val="both"/>
      </w:pPr>
      <w:r>
        <w:rPr>
          <w:i/>
          <w:iCs/>
          <w:color w:val="2C3A64"/>
          <w:sz w:val="24"/>
          <w:szCs w:val="24"/>
        </w:rPr>
        <w:t xml:space="preserve">Sebelum jarum menyentuh kulit pasien, ada satu langkah yang tidak boleh dilewati — memastikan pasien benar-benar mengerti apa yang akan terjadi dan mengapa.</w:t>
      </w:r>
    </w:p>
    <w:p>
      <w:pPr>
        <w:spacing w:after="160"/>
        <w:jc w:val="both"/>
      </w:pPr>
      <w:r>
        <w:t xml:space="preserve">Setiap tindakan prosedural, sekecil apa pun, memerlukan persetujuan tindakan medis (informed consent) yang memadai — penjelasan indikasi, prosedur, risiko, alternatif, dan konsekuensi penolakan.</w:t>
      </w:r>
    </w:p>
    <w:p>
      <w:pPr>
        <w:pStyle w:val="ListParagraph"/>
        <w:numPr>
          <w:ilvl w:val="0"/>
          <w:numId w:val="1"/>
        </w:numPr>
        <w:spacing w:after="90"/>
      </w:pPr>
      <w:r>
        <w:t xml:space="preserve">Verifikasi identitas pasien dan prosedur yang akan dilakukan sebelum tindakan dimulai.</w:t>
      </w:r>
    </w:p>
    <w:p>
      <w:pPr>
        <w:pStyle w:val="ListParagraph"/>
        <w:numPr>
          <w:ilvl w:val="0"/>
          <w:numId w:val="1"/>
        </w:numPr>
        <w:spacing w:after="90"/>
      </w:pPr>
      <w:r>
        <w:t xml:space="preserve">Teknik aseptik-antiseptik yang konsisten untuk mencegah infeksi terkait tindakan.</w:t>
      </w:r>
    </w:p>
    <w:p>
      <w:pPr>
        <w:pStyle w:val="ListParagraph"/>
        <w:numPr>
          <w:ilvl w:val="0"/>
          <w:numId w:val="1"/>
        </w:numPr>
        <w:spacing w:after="90"/>
      </w:pPr>
      <w:r>
        <w:t xml:space="preserve">Persiapan penanganan komplikasi yang mungkin timbul sebelum memulai tindakan, termasuk kejelasan jalur rujukan darurat bila diperlukan.</w:t>
      </w:r>
    </w:p>
    <w:p>
      <w:pPr>
        <w:pStyle w:val="ListParagraph"/>
        <w:numPr>
          <w:ilvl w:val="0"/>
          <w:numId w:val="1"/>
        </w:numPr>
        <w:spacing w:after="90"/>
      </w:pPr>
      <w:r>
        <w:t xml:space="preserve">Dokumentasi tindakan secara lengkap dalam rekam medis berorientasi masalah (Buku Tematik 1 dan 10).</w:t>
      </w:r>
    </w:p>
    <w:p>
      <w:pPr>
        <w:pStyle w:val="Heading1"/>
        <w:spacing w:after="150" w:before="300"/>
      </w:pPr>
      <w:r>
        <w:t xml:space="preserve">BAB III — PROSEDUR DIAGNOSTIK DASAR</w:t>
      </w:r>
    </w:p>
    <w:p>
      <w:pPr>
        <w:spacing w:after="160" w:before="40"/>
        <w:jc w:val="both"/>
      </w:pPr>
      <w:r>
        <w:rPr>
          <w:i/>
          <w:iCs/>
          <w:color w:val="2C3A64"/>
          <w:sz w:val="24"/>
          <w:szCs w:val="24"/>
        </w:rPr>
        <w:t xml:space="preserve">Tidak semua kepastian diagnosis harus menunggu rujukan — banyak yang bisa dijawab langsung di meja periksa layanan primer sendiri.</w:t>
      </w:r>
    </w:p>
    <w:p>
      <w:pPr>
        <w:spacing w:after="160"/>
        <w:jc w:val="both"/>
      </w:pPr>
      <w:r>
        <w:t xml:space="preserve">Prosedur diagnostik dasar merupakan keterampilan yang diharapkan dikuasai sejak tahun awal pendidikan, mendukung penegakan diagnosis tanpa selalu bergantung pada rujukan pemeriksaan penunjang ke fasilitas lain.</w:t>
      </w:r>
    </w:p>
    <w:p>
      <w:pPr>
        <w:pStyle w:val="ListParagraph"/>
        <w:numPr>
          <w:ilvl w:val="0"/>
          <w:numId w:val="1"/>
        </w:numPr>
        <w:spacing w:after="90"/>
      </w:pPr>
      <w:r>
        <w:t xml:space="preserve">Pengambilan sampel darah vena dan kapiler untuk pemeriksaan laboratorium dasar.</w:t>
      </w:r>
    </w:p>
    <w:p>
      <w:pPr>
        <w:pStyle w:val="ListParagraph"/>
        <w:numPr>
          <w:ilvl w:val="0"/>
          <w:numId w:val="1"/>
        </w:numPr>
        <w:spacing w:after="90"/>
      </w:pPr>
      <w:r>
        <w:t xml:space="preserve">Interpretasi pemeriksaan penunjang sederhana yang tersedia di layanan primer (mis. gula darah kapiler, tes kehamilan, tes cepat lainnya sesuai ketersediaan alat).</w:t>
      </w:r>
    </w:p>
    <w:p>
      <w:pPr>
        <w:pStyle w:val="ListParagraph"/>
        <w:numPr>
          <w:ilvl w:val="0"/>
          <w:numId w:val="1"/>
        </w:numPr>
        <w:spacing w:after="90"/>
      </w:pPr>
      <w:r>
        <w:t xml:space="preserve">Pemeriksaan elektrokardiografi dasar dan pengenalan pola yang memerlukan rujukan segera.</w:t>
      </w:r>
    </w:p>
    <w:p>
      <w:pPr>
        <w:pStyle w:val="ListParagraph"/>
        <w:numPr>
          <w:ilvl w:val="0"/>
          <w:numId w:val="1"/>
        </w:numPr>
        <w:spacing w:after="90"/>
      </w:pPr>
      <w:r>
        <w:t xml:space="preserve">Teknik pengambilan usap/apusan untuk pemeriksaan mikroskopis dasar.</w:t>
      </w:r>
    </w:p>
    <w:p>
      <w:pPr>
        <w:pStyle w:val="Heading1"/>
        <w:spacing w:after="150" w:before="300"/>
      </w:pPr>
      <w:r>
        <w:t xml:space="preserve">BAB IV — PROSEDUR TERAPEUTIK BEDAH MINOR</w:t>
      </w:r>
    </w:p>
    <w:p>
      <w:pPr>
        <w:spacing w:after="160" w:before="40"/>
        <w:jc w:val="both"/>
      </w:pPr>
      <w:r>
        <w:rPr>
          <w:i/>
          <w:iCs/>
          <w:color w:val="2C3A64"/>
          <w:sz w:val="24"/>
          <w:szCs w:val="24"/>
        </w:rPr>
        <w:t xml:space="preserve">Satu jahitan yang rapi bisa berarti pasien tidak perlu menempuh perjalanan berjam-jam ke kota — tapi jahitan yang gegabah pada kasus yang seharusnya dirujuk bisa berakibat sebaliknya.</w:t>
      </w:r>
    </w:p>
    <w:p>
      <w:pPr>
        <w:spacing w:after="160"/>
        <w:jc w:val="both"/>
      </w:pPr>
      <w:r>
        <w:t xml:space="preserve">Bedah minor merupakan keterampilan khas layanan primer yang memungkinkan penanganan tuntas tanpa rujukan pada kondisi yang sesuai kewenangan, sekaligus menuntut kemampuan mengenali batas kompleksitas yang memerlukan rujukan ke bedah spesialistik.</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4500"/>
        <w:gridCol w:w="4500"/>
      </w:tblGrid>
      <w:tr>
        <w:tc>
          <w:tcPr>
            <w:tcW w:type="dxa" w:w="4500"/>
            <w:shd w:fill="2C3A64" w:val="clear"/>
          </w:tcPr>
          <w:p>
            <w:r>
              <w:rPr>
                <w:b/>
                <w:bCs/>
                <w:color w:val="FFFFFF"/>
              </w:rPr>
              <w:t xml:space="preserve">Kategori Tindakan</w:t>
            </w:r>
          </w:p>
        </w:tc>
        <w:tc>
          <w:tcPr>
            <w:tcW w:type="dxa" w:w="4500"/>
            <w:shd w:fill="2C3A64" w:val="clear"/>
          </w:tcPr>
          <w:p>
            <w:r>
              <w:rPr>
                <w:b/>
                <w:bCs/>
                <w:color w:val="FFFFFF"/>
              </w:rPr>
              <w:t xml:space="preserve">Contoh Indikasi Umum</w:t>
            </w:r>
          </w:p>
        </w:tc>
      </w:tr>
      <w:tr>
        <w:tc>
          <w:tcPr>
            <w:tcW w:type="dxa" w:w="4500"/>
          </w:tcPr>
          <w:p>
            <w:r>
              <w:t xml:space="preserve">Perawatan luka</w:t>
            </w:r>
          </w:p>
        </w:tc>
        <w:tc>
          <w:tcPr>
            <w:tcW w:type="dxa" w:w="4500"/>
          </w:tcPr>
          <w:p>
            <w:r>
              <w:t xml:space="preserve">Penjahitan luka superfisial tanpa komplikasi, perawatan luka kronik</w:t>
            </w:r>
          </w:p>
        </w:tc>
      </w:tr>
      <w:tr>
        <w:tc>
          <w:tcPr>
            <w:tcW w:type="dxa" w:w="4500"/>
          </w:tcPr>
          <w:p>
            <w:r>
              <w:t xml:space="preserve">Insisi dan drainase</w:t>
            </w:r>
          </w:p>
        </w:tc>
        <w:tc>
          <w:tcPr>
            <w:tcW w:type="dxa" w:w="4500"/>
          </w:tcPr>
          <w:p>
            <w:r>
              <w:t xml:space="preserve">Abses superfisial tanpa tanda penyebaran infeksi sistemik</w:t>
            </w:r>
          </w:p>
        </w:tc>
      </w:tr>
      <w:tr>
        <w:tc>
          <w:tcPr>
            <w:tcW w:type="dxa" w:w="4500"/>
          </w:tcPr>
          <w:p>
            <w:r>
              <w:t xml:space="preserve">Eksisi lesi kulit jinak</w:t>
            </w:r>
          </w:p>
        </w:tc>
        <w:tc>
          <w:tcPr>
            <w:tcW w:type="dxa" w:w="4500"/>
          </w:tcPr>
          <w:p>
            <w:r>
              <w:t xml:space="preserve">Lesi kulit superfisial dengan kecurigaan jinak yang rendah</w:t>
            </w:r>
          </w:p>
        </w:tc>
      </w:tr>
      <w:tr>
        <w:tc>
          <w:tcPr>
            <w:tcW w:type="dxa" w:w="4500"/>
          </w:tcPr>
          <w:p>
            <w:r>
              <w:t xml:space="preserve">Ekstraksi benda asing superfisial</w:t>
            </w:r>
          </w:p>
        </w:tc>
        <w:tc>
          <w:tcPr>
            <w:tcW w:type="dxa" w:w="4500"/>
          </w:tcPr>
          <w:p>
            <w:r>
              <w:t xml:space="preserve">Benda asing pada jaringan lunak superfisial tanpa kecurigaan cedera struktur dalam</w:t>
            </w:r>
          </w:p>
        </w:tc>
      </w:tr>
    </w:tbl>
    <w:p>
      <w:pPr>
        <w:spacing w:after="160"/>
      </w:pPr>
    </w:p>
    <w:p>
      <w:pPr>
        <w:pBdr>
          <w:left w:val="single" w:color="A9812F" w:sz="24"/>
        </w:pBdr>
        <w:shd w:fill="FBEFD9" w:val="clear"/>
        <w:spacing w:after="200" w:before="100"/>
        <w:ind w:left="200"/>
      </w:pPr>
      <w:r>
        <w:rPr>
          <w:b/>
          <w:bCs/>
          <w:color w:val="8A6410"/>
        </w:rPr>
        <w:t xml:space="preserve">⚠ TINJAU TENAGA KESEHATAN — </w:t>
      </w:r>
      <w:r>
        <w:rPr>
          <w:i/>
          <w:iCs/>
        </w:rPr>
        <w:t xml:space="preserve">indikasi tindakan bedah minor di atas bersifat prinsip umum; batas kewenangan dan indikasi kontra definitif wajib mengikuti Matriks Kewenangan Klinis Bertingkat institusi dan pertimbangan klinis kasus per kasus.</w:t>
      </w:r>
    </w:p>
    <w:p>
      <w:pPr>
        <w:pBdr>
          <w:left w:val="single" w:color="2C3A64" w:sz="24"/>
        </w:pBdr>
        <w:shd w:fill="EEF1F8" w:val="clear"/>
        <w:spacing w:after="200" w:before="100"/>
        <w:ind w:left="200"/>
      </w:pPr>
      <w:r>
        <w:rPr>
          <w:b/>
          <w:bCs/>
          <w:color w:val="2C3A64"/>
        </w:rPr>
        <w:t xml:space="preserve">🩺 Ilustrasi Kasus — </w:t>
      </w:r>
      <w:r>
        <w:t xml:space="preserve">Seorang anak 7 tahun datang dengan luka robek di lutut akibat terjatuh dari sepeda. Dokter menilai luka superfisial tanpa kerusakan struktur dalam, melakukan penjahitan sederhana setelah informed consent dari orang tua, dan menjadwalkan kontrol pelepasan jahitan — menghindarkan keluarga dari perjalanan ke rumah sakit kota untuk kasus yang sesungguhnya sesuai kewenangan layanan primer.</w:t>
      </w:r>
    </w:p>
    <w:p>
      <w:pPr>
        <w:pStyle w:val="Heading1"/>
        <w:spacing w:after="150" w:before="300"/>
      </w:pPr>
      <w:r>
        <w:t xml:space="preserve">BAB V — PROSEDUR TERAPEUTIK NON-BEDAH</w:t>
      </w:r>
    </w:p>
    <w:p>
      <w:pPr>
        <w:spacing w:after="160" w:before="40"/>
        <w:jc w:val="both"/>
      </w:pPr>
      <w:r>
        <w:rPr>
          <w:i/>
          <w:iCs/>
          <w:color w:val="2C3A64"/>
          <w:sz w:val="24"/>
          <w:szCs w:val="24"/>
        </w:rPr>
        <w:t xml:space="preserve">Tidak semua tindakan melibatkan pisau bedah — sebagian justru berupa jarum kecil atau alat sederhana yang tetap menuntut ketepatan yang sama.</w:t>
      </w:r>
    </w:p>
    <w:p>
      <w:pPr>
        <w:spacing w:after="160"/>
        <w:jc w:val="both"/>
      </w:pPr>
      <w:r>
        <w:t xml:space="preserve">Selain bedah minor, sejumlah prosedur non-bedah menjadi bagian rutin praktik layanan primer, mencakup pemasangan/pelepasan alat kontrasepsi tertentu sesuai kewenangan dan pelatihan, injeksi intra-artikular sederhana, serta prosedur resusitasi dasar yang telah dibahas pada Buku Tematik 7.</w:t>
      </w:r>
    </w:p>
    <w:p>
      <w:pPr>
        <w:pStyle w:val="Heading1"/>
        <w:spacing w:after="150" w:before="300"/>
      </w:pPr>
      <w:r>
        <w:t xml:space="preserve">BAB VI — PROSEDUR KHUSUS PADA KELOMPOK USIA DAN KONDISI TERTENTU</w:t>
      </w:r>
    </w:p>
    <w:p>
      <w:pPr>
        <w:spacing w:after="160" w:before="40"/>
        <w:jc w:val="both"/>
      </w:pPr>
      <w:r>
        <w:rPr>
          <w:i/>
          <w:iCs/>
          <w:color w:val="2C3A64"/>
          <w:sz w:val="24"/>
          <w:szCs w:val="24"/>
        </w:rPr>
        <w:t xml:space="preserve">Teknik yang sama pada orang dewasa bisa jadi traumatis bila diterapkan tanpa penyesuaian pada anak kecil yang ketakutan atau lansia dengan kulit rapuh.</w:t>
      </w:r>
    </w:p>
    <w:p>
      <w:pPr>
        <w:spacing w:after="160"/>
        <w:jc w:val="both"/>
      </w:pPr>
      <w:r>
        <w:t xml:space="preserve">Sejumlah prosedur memerlukan adaptasi teknik dan pendekatan komunikasi khusus pada kelompok tertentu — anak (memerlukan pendekatan yang meminimalkan trauma psikologis dan melibatkan orang tua), lansia (memerlukan kewaspadaan terhadap kerapuhan kulit dan risiko komplikasi lebih tinggi), dan ibu hamil (memerlukan pertimbangan keselamatan janin pada setiap indikasi tindakan).</w:t>
      </w:r>
    </w:p>
    <w:p>
      <w:pPr>
        <w:pStyle w:val="Heading1"/>
        <w:spacing w:after="150" w:before="300"/>
      </w:pPr>
      <w:r>
        <w:t xml:space="preserve">BAB VII — SUPERVISI DAN PENJENJANGAN KOMPETENSI PROSEDURAL</w:t>
      </w:r>
    </w:p>
    <w:p>
      <w:pPr>
        <w:spacing w:after="160" w:before="40"/>
        <w:jc w:val="both"/>
      </w:pPr>
      <w:r>
        <w:rPr>
          <w:i/>
          <w:iCs/>
          <w:color w:val="2C3A64"/>
          <w:sz w:val="24"/>
          <w:szCs w:val="24"/>
        </w:rPr>
        <w:t xml:space="preserve">Tidak ada peserta didik yang dibiarkan langsung bekerja sendiri sejak hari pertama — kemandirian dibangun bertahap, disaksikan langsung oleh pembimbing.</w:t>
      </w:r>
    </w:p>
    <w:p>
      <w:pPr>
        <w:spacing w:after="160"/>
        <w:jc w:val="both"/>
      </w:pPr>
      <w:r>
        <w:t xml:space="preserve">Penguasaan keterampilan prosedural mengikuti prinsip pembelajaran bertahap dengan supervisi berjenjang: observasi, dibimbing langsung, dibimbing tidak langsung, hingga mandiri — dinilai melalui instrumen penilaian keterampilan prosedural terstruktur (Direct Observation of Procedural Skills/DOPS) sebagaimana dibahas pada Dokumen P6.</w:t>
      </w:r>
    </w:p>
    <w:p>
      <w:pPr>
        <w:pStyle w:val="Heading1"/>
        <w:spacing w:after="150" w:before="300"/>
      </w:pPr>
      <w:r>
        <w:t xml:space="preserve">BAB VII-A — PENJENJANGAN CAPAIAN PEMBELAJARAN TAHUN I–IV: KETERAMPILAN PROSEDURAL LAYANAN PRIMER</w:t>
      </w:r>
    </w:p>
    <w:p>
      <w:pPr>
        <w:spacing w:after="160" w:before="40"/>
        <w:jc w:val="both"/>
      </w:pPr>
      <w:r>
        <w:rPr>
          <w:i/>
          <w:iCs/>
          <w:color w:val="2C3A64"/>
          <w:sz w:val="24"/>
          <w:szCs w:val="24"/>
        </w:rPr>
        <w:t xml:space="preserve">Kemandirian melakukan sebuah tindakan tidak diberikan begitu saja — ia diperoleh bertahap dan didokumentasikan, sebagaimana penjenjangan berikut menandai jalurnya.</w:t>
      </w:r>
    </w:p>
    <w:p>
      <w:pPr>
        <w:spacing w:after="160"/>
        <w:jc w:val="both"/>
      </w:pPr>
      <w:r>
        <w:t xml:space="preserve">Penjenjangan berikut merupakan usulan kerangka penahapan berbasis pola umum pendidikan spesialis empat tahun dan notasi penjenjangan capaian pembelajaran Perkonsil 65/2019 (mis. tingkat kemampuan 1–4A), diselaraskan dengan topik buku ini. Kedalaman dan urutan aktual tetap mengikuti kurikulum operasional program studi serta hasil evaluasi individual peserta didik — tabel ini bukan pengganti matriks kewenangan klinis resmi (lihat Dokumen P4).</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250"/>
        <w:gridCol w:w="2250"/>
        <w:gridCol w:w="2250"/>
        <w:gridCol w:w="2250"/>
      </w:tblGrid>
      <w:tr>
        <w:tc>
          <w:tcPr>
            <w:tcW w:type="dxa" w:w="2250"/>
            <w:shd w:fill="2C3A64" w:val="clear"/>
          </w:tcPr>
          <w:p>
            <w:r>
              <w:rPr>
                <w:b/>
                <w:bCs/>
                <w:color w:val="FFFFFF"/>
              </w:rPr>
              <w:t xml:space="preserve">Tahun Pendidikan</w:t>
            </w:r>
          </w:p>
        </w:tc>
        <w:tc>
          <w:tcPr>
            <w:tcW w:type="dxa" w:w="2250"/>
            <w:shd w:fill="2C3A64" w:val="clear"/>
          </w:tcPr>
          <w:p>
            <w:r>
              <w:rPr>
                <w:b/>
                <w:bCs/>
                <w:color w:val="FFFFFF"/>
              </w:rPr>
              <w:t xml:space="preserve">Fokus Belajar Utama</w:t>
            </w:r>
          </w:p>
        </w:tc>
        <w:tc>
          <w:tcPr>
            <w:tcW w:type="dxa" w:w="2250"/>
            <w:shd w:fill="2C3A64" w:val="clear"/>
          </w:tcPr>
          <w:p>
            <w:r>
              <w:rPr>
                <w:b/>
                <w:bCs/>
                <w:color w:val="FFFFFF"/>
              </w:rPr>
              <w:t xml:space="preserve">Tingkat Kemandirian Klinis</w:t>
            </w:r>
          </w:p>
        </w:tc>
        <w:tc>
          <w:tcPr>
            <w:tcW w:type="dxa" w:w="2250"/>
            <w:shd w:fill="2C3A64" w:val="clear"/>
          </w:tcPr>
          <w:p>
            <w:r>
              <w:rPr>
                <w:b/>
                <w:bCs/>
                <w:color w:val="FFFFFF"/>
              </w:rPr>
              <w:t xml:space="preserve">Capaian yang Diharapkan</w:t>
            </w:r>
          </w:p>
        </w:tc>
      </w:tr>
      <w:tr>
        <w:tc>
          <w:tcPr>
            <w:tcW w:type="dxa" w:w="2250"/>
          </w:tcPr>
          <w:p>
            <w:r>
              <w:t xml:space="preserve">Tahun I</w:t>
            </w:r>
          </w:p>
        </w:tc>
        <w:tc>
          <w:tcPr>
            <w:tcW w:type="dxa" w:w="2250"/>
          </w:tcPr>
          <w:p>
            <w:r>
              <w:t xml:space="preserve">Mengamati dan berlatih prosedur dasar (jahit luka sederhana, injeksi, pemasangan infus) di bawah observasi.</w:t>
            </w:r>
          </w:p>
        </w:tc>
        <w:tc>
          <w:tcPr>
            <w:tcW w:type="dxa" w:w="2250"/>
          </w:tcPr>
          <w:p>
            <w:r>
              <w:t xml:space="preserve">Observasi dan dibimbing langsung.</w:t>
            </w:r>
          </w:p>
        </w:tc>
        <w:tc>
          <w:tcPr>
            <w:tcW w:type="dxa" w:w="2250"/>
          </w:tcPr>
          <w:p>
            <w:r>
              <w:t xml:space="preserve">Lulus penilaian DOPS untuk prosedur dasar dengan supervisi penuh.</w:t>
            </w:r>
          </w:p>
        </w:tc>
      </w:tr>
      <w:tr>
        <w:tc>
          <w:tcPr>
            <w:tcW w:type="dxa" w:w="2250"/>
          </w:tcPr>
          <w:p>
            <w:r>
              <w:t xml:space="preserve">Tahun II</w:t>
            </w:r>
          </w:p>
        </w:tc>
        <w:tc>
          <w:tcPr>
            <w:tcW w:type="dxa" w:w="2250"/>
          </w:tcPr>
          <w:p>
            <w:r>
              <w:t xml:space="preserve">Melakukan prosedur diagnostik dan bedah minor umum dengan bimbingan tidak langsung.</w:t>
            </w:r>
          </w:p>
        </w:tc>
        <w:tc>
          <w:tcPr>
            <w:tcW w:type="dxa" w:w="2250"/>
          </w:tcPr>
          <w:p>
            <w:r>
              <w:t xml:space="preserve">Dibimbing tidak langsung.</w:t>
            </w:r>
          </w:p>
        </w:tc>
        <w:tc>
          <w:tcPr>
            <w:tcW w:type="dxa" w:w="2250"/>
          </w:tcPr>
          <w:p>
            <w:r>
              <w:t xml:space="preserve">Lulus penilaian DOPS untuk prosedur bedah minor umum.</w:t>
            </w:r>
          </w:p>
        </w:tc>
      </w:tr>
      <w:tr>
        <w:tc>
          <w:tcPr>
            <w:tcW w:type="dxa" w:w="2250"/>
          </w:tcPr>
          <w:p>
            <w:r>
              <w:t xml:space="preserve">Tahun III</w:t>
            </w:r>
          </w:p>
        </w:tc>
        <w:tc>
          <w:tcPr>
            <w:tcW w:type="dxa" w:w="2250"/>
          </w:tcPr>
          <w:p>
            <w:r>
              <w:t xml:space="preserve">Melakukan prosedur pada kelompok usia/kondisi khusus (anak, lansia, komorbid) secara mandiri.</w:t>
            </w:r>
          </w:p>
        </w:tc>
        <w:tc>
          <w:tcPr>
            <w:tcW w:type="dxa" w:w="2250"/>
          </w:tcPr>
          <w:p>
            <w:r>
              <w:t xml:space="preserve">Mandiri dengan supervisi berkala.</w:t>
            </w:r>
          </w:p>
        </w:tc>
        <w:tc>
          <w:tcPr>
            <w:tcW w:type="dxa" w:w="2250"/>
          </w:tcPr>
          <w:p>
            <w:r>
              <w:t xml:space="preserve">Lulus penilaian DOPS untuk prosedur pada populasi khusus.</w:t>
            </w:r>
          </w:p>
        </w:tc>
      </w:tr>
      <w:tr>
        <w:tc>
          <w:tcPr>
            <w:tcW w:type="dxa" w:w="2250"/>
          </w:tcPr>
          <w:p>
            <w:r>
              <w:t xml:space="preserve">Tahun IV</w:t>
            </w:r>
          </w:p>
        </w:tc>
        <w:tc>
          <w:tcPr>
            <w:tcW w:type="dxa" w:w="2250"/>
          </w:tcPr>
          <w:p>
            <w:r>
              <w:t xml:space="preserve">Mengawasi dan menilai keterampilan prosedural peserta didik junior.</w:t>
            </w:r>
          </w:p>
        </w:tc>
        <w:tc>
          <w:tcPr>
            <w:tcW w:type="dxa" w:w="2250"/>
          </w:tcPr>
          <w:p>
            <w:r>
              <w:t xml:space="preserve">Mandiri penuh, berperan sebagai penilai DOPS pendamping.</w:t>
            </w:r>
          </w:p>
        </w:tc>
        <w:tc>
          <w:tcPr>
            <w:tcW w:type="dxa" w:w="2250"/>
          </w:tcPr>
          <w:p>
            <w:r>
              <w:t xml:space="preserve">Mampu memberi umpan balik terstruktur pada penilaian DOPS peserta didik lain.</w:t>
            </w:r>
          </w:p>
        </w:tc>
      </w:tr>
    </w:tbl>
    <w:p>
      <w:pPr>
        <w:spacing w:after="160"/>
      </w:pPr>
    </w:p>
    <w:p>
      <w:pPr>
        <w:pStyle w:val="Heading1"/>
        <w:spacing w:after="150" w:before="300"/>
      </w:pPr>
      <w:r>
        <w:t xml:space="preserve">BAB VII-B — EVALUASI DIRI DAN PERTANYAAN REFLEKTIF</w:t>
      </w:r>
    </w:p>
    <w:p>
      <w:pPr>
        <w:spacing w:after="160" w:before="40"/>
        <w:jc w:val="both"/>
      </w:pPr>
      <w:r>
        <w:rPr>
          <w:i/>
          <w:iCs/>
          <w:color w:val="2C3A64"/>
          <w:sz w:val="24"/>
          <w:szCs w:val="24"/>
        </w:rPr>
        <w:t xml:space="preserve">Kompetensi yang sesungguhnya sering terlihat bukan dari apa yang bisa dijelaskan di ujian lisan, melainkan dari pertanyaan jujur yang diajukan pada diri sendiri setelah kunjungan pasien selesai.</w:t>
      </w:r>
    </w:p>
    <w:p>
      <w:pPr>
        <w:spacing w:after="160"/>
        <w:jc w:val="both"/>
      </w:pPr>
      <w:r>
        <w:t xml:space="preserve">Pertanyaan reflektif berikut dapat digunakan peserta didik sebagai bahan evaluasi diri berkala (mis. mengisi jurnal reflektif mingguan) maupun bahan diskusi terstruktur dengan dokter pembimbing klinis, melengkapi instrumen penilaian formal pada Dokumen P6.</w:t>
      </w:r>
    </w:p>
    <w:p>
      <w:pPr>
        <w:pStyle w:val="ListParagraph"/>
        <w:numPr>
          <w:ilvl w:val="0"/>
          <w:numId w:val="1"/>
        </w:numPr>
        <w:spacing w:after="90"/>
      </w:pPr>
      <w:r>
        <w:t xml:space="preserve">Apakah informed consent yang saya ambil sebelum tindakan benar-benar dipahami pasien, bukan sekadar tanda tangan formulir?</w:t>
      </w:r>
    </w:p>
    <w:p>
      <w:pPr>
        <w:pStyle w:val="ListParagraph"/>
        <w:numPr>
          <w:ilvl w:val="0"/>
          <w:numId w:val="1"/>
        </w:numPr>
        <w:spacing w:after="90"/>
      </w:pPr>
      <w:r>
        <w:t xml:space="preserve">Sudahkah saya mendokumentasikan setiap tindakan yang saya lakukan dalam logbook/portofolio secara konsisten?</w:t>
      </w:r>
    </w:p>
    <w:p>
      <w:pPr>
        <w:pStyle w:val="ListParagraph"/>
        <w:numPr>
          <w:ilvl w:val="0"/>
          <w:numId w:val="1"/>
        </w:numPr>
        <w:spacing w:after="90"/>
      </w:pPr>
      <w:r>
        <w:t xml:space="preserve">Bagaimana saya menilai kesiapan diri sendiri sebelum melakukan prosedur baru tanpa didampingi?</w:t>
      </w:r>
    </w:p>
    <w:p>
      <w:pPr>
        <w:pStyle w:val="ListParagraph"/>
        <w:numPr>
          <w:ilvl w:val="0"/>
          <w:numId w:val="1"/>
        </w:numPr>
        <w:spacing w:after="90"/>
      </w:pPr>
      <w:r>
        <w:t xml:space="preserve">Apakah saya sudah pernah meminta umpan balik eksplisit dari pembimbing setelah tindakan, bukan hanya menerima nilai DOPS?</w:t>
      </w:r>
    </w:p>
    <w:p>
      <w:pPr>
        <w:pStyle w:val="Heading1"/>
        <w:spacing w:after="150" w:before="300"/>
      </w:pPr>
      <w:r>
        <w:t xml:space="preserve">BAB VIII — PENUTUP</w:t>
      </w:r>
    </w:p>
    <w:p>
      <w:pPr>
        <w:spacing w:after="160"/>
        <w:jc w:val="both"/>
      </w:pPr>
      <w:r>
        <w:t xml:space="preserve">Keterampilan prosedural melengkapi kompetensi kognitif dan komunikasi yang dibahas pada buku-buku tematik lain, menjadikan dokter spesialis kedokteran keluarga layanan primer mampu memberikan tata laksana tuntas untuk sebagian besar masalah kesehatan tanpa rujukan yang tidak perlu, sekaligus tahu kapan harus merujuk.</w:t>
      </w:r>
    </w:p>
    <w:p>
      <w:pPr>
        <w:pStyle w:val="Heading2"/>
        <w:spacing w:after="120" w:before="250"/>
      </w:pPr>
      <w:r>
        <w:t xml:space="preserve">Glosarium</w:t>
      </w:r>
    </w:p>
    <w:p>
      <w:pPr>
        <w:spacing w:after="90"/>
      </w:pPr>
      <w:r>
        <w:rPr>
          <w:b/>
          <w:bCs/>
        </w:rPr>
        <w:t xml:space="preserve">Informed Consent — </w:t>
      </w:r>
      <w:r>
        <w:t xml:space="preserve">Persetujuan tindakan medis setelah penjelasan memadai tentang indikasi, prosedur, risiko, dan alternatif.</w:t>
      </w:r>
    </w:p>
    <w:p>
      <w:pPr>
        <w:spacing w:after="90"/>
      </w:pPr>
      <w:r>
        <w:rPr>
          <w:b/>
          <w:bCs/>
        </w:rPr>
        <w:t xml:space="preserve">Teknik Aseptik-Antiseptik — </w:t>
      </w:r>
      <w:r>
        <w:t xml:space="preserve">Prinsip dan teknik untuk mencegah kontaminasi mikroba selama tindakan medis.</w:t>
      </w:r>
    </w:p>
    <w:p>
      <w:pPr>
        <w:spacing w:after="90"/>
      </w:pPr>
      <w:r>
        <w:rPr>
          <w:b/>
          <w:bCs/>
        </w:rPr>
        <w:t xml:space="preserve">DOPS — </w:t>
      </w:r>
      <w:r>
        <w:t xml:space="preserve">Direct Observation of Procedural Skills — instrumen penilaian keterampilan prosedural berbasis observasi langsung.</w:t>
      </w:r>
    </w:p>
    <w:p>
      <w:pPr>
        <w:spacing w:after="90"/>
      </w:pPr>
      <w:r>
        <w:rPr>
          <w:b/>
          <w:bCs/>
        </w:rPr>
        <w:t xml:space="preserve">Bedah Minor — </w:t>
      </w:r>
      <w:r>
        <w:t xml:space="preserve">Tindakan bedah sederhana yang dapat dilakukan di layanan primer tanpa memerlukan fasilitas bedah lengkap.</w:t>
      </w:r>
    </w:p>
    <w:p>
      <w:pPr>
        <w:pStyle w:val="Heading2"/>
        <w:spacing w:after="120" w:before="250"/>
      </w:pPr>
      <w:r>
        <w:t xml:space="preserve">Daftar Pustaka</w:t>
      </w:r>
    </w:p>
    <w:p>
      <w:pPr>
        <w:spacing w:after="90"/>
        <w:ind w:left="360" w:hanging="360"/>
      </w:pPr>
      <w:r>
        <w:t xml:space="preserve">Konsil Kedokteran Indonesia. Peraturan Konsil Kedokteran Indonesia Nomor 65 Tahun 2019.</w:t>
      </w:r>
    </w:p>
    <w:p>
      <w:pPr>
        <w:spacing w:after="90"/>
        <w:ind w:left="360" w:hanging="360"/>
      </w:pPr>
      <w:r>
        <w:t xml:space="preserve">Catatan: indikasi dan teknik prosedural dalam buku ini bersifat prinsip umum; pembaca disarankan merujuk pedoman keterampilan klinis resmi kolegium terkait dan Matriks Kewenangan Klinis Bertingkat institusi.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2026-07-18T16:20:04.352Z</dcterms:created>
  <dcterms:modified xsi:type="dcterms:W3CDTF">2026-07-18T16:20:04.353Z</dcterms:modified>
</cp:coreProperties>
</file>

<file path=docProps/custom.xml><?xml version="1.0" encoding="utf-8"?>
<Properties xmlns="http://schemas.openxmlformats.org/officeDocument/2006/custom-properties" xmlns:vt="http://schemas.openxmlformats.org/officeDocument/2006/docPropsVTypes"/>
</file>