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8 dari Klaster Digital — Ekosistem Buku Pendidikan Dokter Spesialis Kedokteran Keluarga Layanan Primer (SpKKLP)</w:t>
      </w:r>
    </w:p>
    <w:p>
      <w:pPr>
        <w:spacing w:after="200"/>
      </w:pPr>
    </w:p>
    <w:p>
      <w:pPr>
        <w:jc w:val="center"/>
      </w:pPr>
      <w:r>
        <w:rPr>
          <w:b/>
          <w:bCs/>
          <w:sz w:val="36"/>
          <w:szCs w:val="36"/>
        </w:rPr>
        <w:t xml:space="preserve">Kedokteran Komunitas dan Kesehatan Masyarakat</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DARI PASIEN INDIVIDU KE POPULASI BINAAN</w:t>
      </w:r>
    </w:p>
    <w:p>
      <w:pPr>
        <w:spacing w:after="160" w:before="40"/>
        <w:jc w:val="both"/>
      </w:pPr>
      <w:r>
        <w:rPr>
          <w:i/>
          <w:iCs/>
          <w:color w:val="2C3A64"/>
          <w:sz w:val="24"/>
          <w:szCs w:val="24"/>
        </w:rPr>
        <w:t xml:space="preserve">Bayangkan mengobati sepuluh pasien diare dari satu RT dalam satu minggu tanpa pernah bertanya dari mana sumber air minum mereka. Bab ini mengajak dokter melangkah keluar ruang praktik dan melihat pola di baliknya.</w:t>
      </w:r>
    </w:p>
    <w:p>
      <w:pPr>
        <w:spacing w:after="160"/>
        <w:jc w:val="both"/>
      </w:pPr>
      <w:r>
        <w:t xml:space="preserve">Buku ini membahas Area Kompetensi e (landasan ilmiah kedokteran keluarga, kedokteran komunitas, dan kesehatan masyarakat), memperluas cakupan tanggung jawab dokter spesialis kedokteran keluarga layanan primer dari pasien dan keluarga individual (Buku Tematik 1–7) ke populasi wilayah kerja secara keseluruhan — mewujudkan peran Community Leader dalam kerangka WHO Five-Star Doctor pada Buku Utama (U0).</w:t>
      </w:r>
    </w:p>
    <w:p>
      <w:pPr>
        <w:pBdr>
          <w:left w:val="single" w:color="A9812F" w:sz="24"/>
        </w:pBdr>
        <w:shd w:fill="FBEFD9" w:val="clear"/>
        <w:spacing w:after="200" w:before="100"/>
        <w:ind w:left="200"/>
      </w:pPr>
      <w:r>
        <w:rPr>
          <w:b/>
          <w:bCs/>
          <w:color w:val="8A6410"/>
        </w:rPr>
        <w:t xml:space="preserve">⚠ TINJAU TENAGA KESEHATAN — </w:t>
      </w:r>
      <w:r>
        <w:rPr>
          <w:i/>
          <w:iCs/>
        </w:rPr>
        <w:t xml:space="preserve">data epidemiologi dan capaian program kesehatan masyarakat spesifik tidak dicantumkan pada edisi ini karena angka terkini bersifat dinamis dan wajib ditelusuri dari sumber resmi (Profil Kesehatan Indonesia, Profil Kesehatan Daerah, Survei Demografi dan Kesehatan Indonesia) yang berlaku pada saat pembacaan.</w:t>
      </w:r>
    </w:p>
    <w:p>
      <w:pPr>
        <w:pStyle w:val="Heading1"/>
        <w:spacing w:after="150" w:before="300"/>
      </w:pPr>
      <w:r>
        <w:t xml:space="preserve">BAB II — DIAGNOSIS KOMUNITAS</w:t>
      </w:r>
    </w:p>
    <w:p>
      <w:pPr>
        <w:spacing w:after="160" w:before="40"/>
        <w:jc w:val="both"/>
      </w:pPr>
      <w:r>
        <w:rPr>
          <w:i/>
          <w:iCs/>
          <w:color w:val="2C3A64"/>
          <w:sz w:val="24"/>
          <w:szCs w:val="24"/>
        </w:rPr>
        <w:t xml:space="preserve">Sama seperti pasien individu, sebuah wilayah kerja juga bisa "didiagnosis" — dan sama seperti pasien, diagnosis yang salah akan mengarahkan pengobatan yang keliru.</w:t>
      </w:r>
    </w:p>
    <w:p>
      <w:pPr>
        <w:spacing w:after="160"/>
        <w:jc w:val="both"/>
      </w:pPr>
      <w:r>
        <w:t xml:space="preserve">Diagnosis komunitas adalah proses sistematis mengidentifikasi masalah kesehatan prioritas suatu wilayah kerja, menyerupai proses diagnosis klinis individual namun diterapkan pada tingkat populasi — mencakup pengumpulan data, analisis, penetapan prioritas masalah, dan perencanaan intervensi.</w:t>
      </w:r>
    </w:p>
    <w:p>
      <w:pPr>
        <w:pStyle w:val="ListParagraph"/>
        <w:numPr>
          <w:ilvl w:val="0"/>
          <w:numId w:val="1"/>
        </w:numPr>
        <w:spacing w:after="90"/>
      </w:pPr>
      <w:r>
        <w:t xml:space="preserve">Pengumpulan data profil wilayah: demografi, morbiditas, mortalitas, cakupan program, dan determinan sosial kesehatan.</w:t>
      </w:r>
    </w:p>
    <w:p>
      <w:pPr>
        <w:pStyle w:val="ListParagraph"/>
        <w:numPr>
          <w:ilvl w:val="0"/>
          <w:numId w:val="1"/>
        </w:numPr>
        <w:spacing w:after="90"/>
      </w:pPr>
      <w:r>
        <w:t xml:space="preserve">Analisis pola penyakit dan faktor risiko dominan di wilayah kerja, dibandingkan dengan data wilayah pembanding bila tersedia.</w:t>
      </w:r>
    </w:p>
    <w:p>
      <w:pPr>
        <w:pStyle w:val="ListParagraph"/>
        <w:numPr>
          <w:ilvl w:val="0"/>
          <w:numId w:val="1"/>
        </w:numPr>
        <w:spacing w:after="90"/>
      </w:pPr>
      <w:r>
        <w:t xml:space="preserve">Penetapan prioritas masalah kesehatan masyarakat berdasarkan besaran masalah, dampak, dan ketersediaan sumber daya untuk intervensi.</w:t>
      </w:r>
    </w:p>
    <w:p>
      <w:pPr>
        <w:pStyle w:val="ListParagraph"/>
        <w:numPr>
          <w:ilvl w:val="0"/>
          <w:numId w:val="1"/>
        </w:numPr>
        <w:spacing w:after="90"/>
      </w:pPr>
      <w:r>
        <w:t xml:space="preserve">Penyusunan rencana intervensi yang realistis dan melibatkan partisipasi masyarakat sebagai subjek, bukan objek semata.</w:t>
      </w:r>
    </w:p>
    <w:p>
      <w:pPr>
        <w:pBdr>
          <w:left w:val="single" w:color="2C3A64" w:sz="24"/>
        </w:pBdr>
        <w:shd w:fill="EEF1F8" w:val="clear"/>
        <w:spacing w:after="200" w:before="100"/>
        <w:ind w:left="200"/>
      </w:pPr>
      <w:r>
        <w:rPr>
          <w:b/>
          <w:bCs/>
          <w:color w:val="2C3A64"/>
        </w:rPr>
        <w:t xml:space="preserve">🩺 Ilustrasi Kasus — </w:t>
      </w:r>
      <w:r>
        <w:t xml:space="preserve">Seorang peserta didik yang bertugas di sebuah Puskesmas menemukan lonjakan kasus diare pada anak dari satu dusun tertentu selama tiga bulan berturut-turut. Alih-alih hanya mengobati satu per satu, ia melakukan diagnosis komunitas sederhana: memetakan lokasi rumah pasien dan menemukan seluruhnya menggunakan sumber air dari satu sumur yang sama, dekat dengan saluran pembuangan yang bocor. Temuan ini mengubah intervensi dari sekadar oralit menjadi koordinasi perbaikan sanitasi bersama pemerintah desa.</w:t>
      </w:r>
    </w:p>
    <w:p>
      <w:pPr>
        <w:pStyle w:val="Heading1"/>
        <w:spacing w:after="150" w:before="300"/>
      </w:pPr>
      <w:r>
        <w:t xml:space="preserve">BAB III — DASAR EPIDEMIOLOGI UNTUK LAYANAN PRIMER</w:t>
      </w:r>
    </w:p>
    <w:p>
      <w:pPr>
        <w:spacing w:after="160" w:before="40"/>
        <w:jc w:val="both"/>
      </w:pPr>
      <w:r>
        <w:rPr>
          <w:i/>
          <w:iCs/>
          <w:color w:val="2C3A64"/>
          <w:sz w:val="24"/>
          <w:szCs w:val="24"/>
        </w:rPr>
        <w:t xml:space="preserve">Kesan klinis ("kayaknya belakangan ini banyak yang demam") dan data epidemiologi yang sesungguhnya ("insidensi naik 40% dibanding bulan lalu") bisa bercerita sangat berbeda.</w:t>
      </w:r>
    </w:p>
    <w:p>
      <w:pPr>
        <w:spacing w:after="160"/>
        <w:jc w:val="both"/>
      </w:pPr>
      <w:r>
        <w:t xml:space="preserve">Pemahaman epidemiologi dasar memungkinkan dokter layanan primer menafsirkan pola penyakit di wilayah kerjanya secara kritis, bukan sekadar mengandalkan kesan klinis subjektif.</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Konsep Epidemiologi Dasar</w:t>
            </w:r>
          </w:p>
        </w:tc>
        <w:tc>
          <w:tcPr>
            <w:tcW w:type="dxa" w:w="4500"/>
            <w:shd w:fill="2C3A64" w:val="clear"/>
          </w:tcPr>
          <w:p>
            <w:r>
              <w:rPr>
                <w:b/>
                <w:bCs/>
                <w:color w:val="FFFFFF"/>
              </w:rPr>
              <w:t xml:space="preserve">Relevansi bagi Layanan Primer</w:t>
            </w:r>
          </w:p>
        </w:tc>
      </w:tr>
      <w:tr>
        <w:tc>
          <w:tcPr>
            <w:tcW w:type="dxa" w:w="4500"/>
          </w:tcPr>
          <w:p>
            <w:r>
              <w:t xml:space="preserve">Insidensi vs Prevalensi</w:t>
            </w:r>
          </w:p>
        </w:tc>
        <w:tc>
          <w:tcPr>
            <w:tcW w:type="dxa" w:w="4500"/>
          </w:tcPr>
          <w:p>
            <w:r>
              <w:t xml:space="preserve">Membedakan kasus baru dari total kasus yang ada, penting untuk perencanaan sumber daya</w:t>
            </w:r>
          </w:p>
        </w:tc>
      </w:tr>
      <w:tr>
        <w:tc>
          <w:tcPr>
            <w:tcW w:type="dxa" w:w="4500"/>
          </w:tcPr>
          <w:p>
            <w:r>
              <w:t xml:space="preserve">Determinan sosial kesehatan</w:t>
            </w:r>
          </w:p>
        </w:tc>
        <w:tc>
          <w:tcPr>
            <w:tcW w:type="dxa" w:w="4500"/>
          </w:tcPr>
          <w:p>
            <w:r>
              <w:t xml:space="preserve">Memahami faktor non-medis (pendidikan, ekonomi, lingkungan) yang memengaruhi status kesehatan populasi</w:t>
            </w:r>
          </w:p>
        </w:tc>
      </w:tr>
      <w:tr>
        <w:tc>
          <w:tcPr>
            <w:tcW w:type="dxa" w:w="4500"/>
          </w:tcPr>
          <w:p>
            <w:r>
              <w:t xml:space="preserve">Surveilans kesehatan masyarakat</w:t>
            </w:r>
          </w:p>
        </w:tc>
        <w:tc>
          <w:tcPr>
            <w:tcW w:type="dxa" w:w="4500"/>
          </w:tcPr>
          <w:p>
            <w:r>
              <w:t xml:space="preserve">Pemantauan berkelanjutan pola penyakit untuk deteksi dini kejadian luar biasa/wabah</w:t>
            </w:r>
          </w:p>
        </w:tc>
      </w:tr>
      <w:tr>
        <w:tc>
          <w:tcPr>
            <w:tcW w:type="dxa" w:w="4500"/>
          </w:tcPr>
          <w:p>
            <w:r>
              <w:t xml:space="preserve">Evaluasi program kesehatan</w:t>
            </w:r>
          </w:p>
        </w:tc>
        <w:tc>
          <w:tcPr>
            <w:tcW w:type="dxa" w:w="4500"/>
          </w:tcPr>
          <w:p>
            <w:r>
              <w:t xml:space="preserve">Penilaian capaian dan efektivitas program dibandingkan target yang ditetapkan</w:t>
            </w:r>
          </w:p>
        </w:tc>
      </w:tr>
    </w:tbl>
    <w:p>
      <w:pPr>
        <w:spacing w:after="160"/>
      </w:pPr>
    </w:p>
    <w:p>
      <w:pPr>
        <w:pStyle w:val="Heading1"/>
        <w:spacing w:after="150" w:before="300"/>
      </w:pPr>
      <w:r>
        <w:t xml:space="preserve">BAB IV — PROGRAM KESEHATAN MASYARAKAT PRIORITAS NASIONAL</w:t>
      </w:r>
    </w:p>
    <w:p>
      <w:pPr>
        <w:spacing w:after="160" w:before="40"/>
        <w:jc w:val="both"/>
      </w:pPr>
      <w:r>
        <w:rPr>
          <w:i/>
          <w:iCs/>
          <w:color w:val="2C3A64"/>
          <w:sz w:val="24"/>
          <w:szCs w:val="24"/>
        </w:rPr>
        <w:t xml:space="preserve">Banyak program kesehatan masyarakat gagal bukan karena rencananya buruk di atas kertas, melainkan karena tidak ada yang benar-benar memimpin pelaksanaannya di lapangan.</w:t>
      </w:r>
    </w:p>
    <w:p>
      <w:pPr>
        <w:spacing w:after="160"/>
        <w:jc w:val="both"/>
      </w:pPr>
      <w:r>
        <w:t xml:space="preserve">Dokter spesialis kedokteran keluarga layanan primer berperan aktif dalam pelaksanaan program kesehatan masyarakat prioritas nasional di wilayah kerjanya, tidak sekadar sebagai pelaksana teknis tetapi juga sebagai penggerak dan penanggung jawab mutu program.</w:t>
      </w:r>
    </w:p>
    <w:p>
      <w:pPr>
        <w:pStyle w:val="ListParagraph"/>
        <w:numPr>
          <w:ilvl w:val="0"/>
          <w:numId w:val="1"/>
        </w:numPr>
        <w:spacing w:after="90"/>
      </w:pPr>
      <w:r>
        <w:t xml:space="preserve">Program kesehatan ibu dan anak (terintegrasi dengan Buku Tematik 4).</w:t>
      </w:r>
    </w:p>
    <w:p>
      <w:pPr>
        <w:pStyle w:val="ListParagraph"/>
        <w:numPr>
          <w:ilvl w:val="0"/>
          <w:numId w:val="1"/>
        </w:numPr>
        <w:spacing w:after="90"/>
      </w:pPr>
      <w:r>
        <w:t xml:space="preserve">Program pengendalian penyakit tidak menular (terintegrasi dengan Buku Tematik 2).</w:t>
      </w:r>
    </w:p>
    <w:p>
      <w:pPr>
        <w:pStyle w:val="ListParagraph"/>
        <w:numPr>
          <w:ilvl w:val="0"/>
          <w:numId w:val="1"/>
        </w:numPr>
        <w:spacing w:after="90"/>
      </w:pPr>
      <w:r>
        <w:t xml:space="preserve">Program pengendalian penyakit menular dan imunisasi (terintegrasi dengan Buku Tematik 3 dan 4).</w:t>
      </w:r>
    </w:p>
    <w:p>
      <w:pPr>
        <w:pStyle w:val="ListParagraph"/>
        <w:numPr>
          <w:ilvl w:val="0"/>
          <w:numId w:val="1"/>
        </w:numPr>
        <w:spacing w:after="90"/>
      </w:pPr>
      <w:r>
        <w:t xml:space="preserve">Program kesehatan lingkungan dan sanitasi dasar.</w:t>
      </w:r>
    </w:p>
    <w:p>
      <w:pPr>
        <w:pStyle w:val="ListParagraph"/>
        <w:numPr>
          <w:ilvl w:val="0"/>
          <w:numId w:val="1"/>
        </w:numPr>
        <w:spacing w:after="90"/>
      </w:pPr>
      <w:r>
        <w:t xml:space="preserve">Program gizi masyarakat, termasuk pencegahan stunting.</w:t>
      </w:r>
    </w:p>
    <w:p>
      <w:pPr>
        <w:pStyle w:val="ListParagraph"/>
        <w:numPr>
          <w:ilvl w:val="0"/>
          <w:numId w:val="1"/>
        </w:numPr>
        <w:spacing w:after="90"/>
      </w:pPr>
      <w:r>
        <w:t xml:space="preserve">Jaminan Kesehatan Nasional (JKN)/BPJS Kesehatan sebagai kerangka pembiayaan yang menaungi pelaksanaan program-program di atas.</w:t>
      </w:r>
    </w:p>
    <w:p>
      <w:pPr>
        <w:pBdr>
          <w:left w:val="single" w:color="A9812F" w:sz="24"/>
        </w:pBdr>
        <w:shd w:fill="FBEFD9" w:val="clear"/>
        <w:spacing w:after="200" w:before="100"/>
        <w:ind w:left="200"/>
      </w:pPr>
      <w:r>
        <w:rPr>
          <w:b/>
          <w:bCs/>
          <w:color w:val="8A6410"/>
        </w:rPr>
        <w:t xml:space="preserve">⚠ TINJAU TENAGA KESEHATAN — </w:t>
      </w:r>
      <w:r>
        <w:rPr>
          <w:i/>
          <w:iCs/>
        </w:rPr>
        <w:t xml:space="preserve">daftar program di atas bersifat ilustratif berdasarkan prioritas kesehatan masyarakat yang umum berlaku; nomenklatur dan target program resmi terkini wajib ditelusuri dari Kementerian Kesehatan RI dan dinas kesehatan setempat.</w:t>
      </w:r>
    </w:p>
    <w:p>
      <w:pPr>
        <w:pStyle w:val="Heading1"/>
        <w:spacing w:after="150" w:before="300"/>
      </w:pPr>
      <w:r>
        <w:t xml:space="preserve">BAB V — PEMBERDAYAAN MASYARAKAT DAN KEMITRAAN LINTAS SEKTOR</w:t>
      </w:r>
    </w:p>
    <w:p>
      <w:pPr>
        <w:spacing w:after="160" w:before="40"/>
        <w:jc w:val="both"/>
      </w:pPr>
      <w:r>
        <w:rPr>
          <w:i/>
          <w:iCs/>
          <w:color w:val="2C3A64"/>
          <w:sz w:val="24"/>
          <w:szCs w:val="24"/>
        </w:rPr>
        <w:t xml:space="preserve">Dokter yang datang membawa jawaban jadi sering ditolak; dokter yang datang mengajak masyarakat merumuskan jawabannya sendiri justru dipercaya.</w:t>
      </w:r>
    </w:p>
    <w:p>
      <w:pPr>
        <w:spacing w:after="160"/>
        <w:jc w:val="both"/>
      </w:pPr>
      <w:r>
        <w:t xml:space="preserve">Peran Community Leader menuntut kemampuan dokter layanan primer membangun kemitraan dengan tokoh masyarakat, kader kesehatan, pemerintah wilayah, dan sektor non-kesehatan untuk mengatasi determinan kesehatan yang tidak dapat diselesaikan melalui intervensi medis semata. Pemberdayaan masyarakat menekankan partisipasi aktif warga dalam identifikasi masalah dan perencanaan solusi, bukan pendekatan top-down.</w:t>
      </w:r>
    </w:p>
    <w:p>
      <w:pPr>
        <w:pStyle w:val="Heading1"/>
        <w:spacing w:after="150" w:before="300"/>
      </w:pPr>
      <w:r>
        <w:t xml:space="preserve">BAB VI — KESEHATAN LINGKUNGAN DAN OKUPASI DI WILAYAH KERJA</w:t>
      </w:r>
    </w:p>
    <w:p>
      <w:pPr>
        <w:spacing w:after="160" w:before="40"/>
        <w:jc w:val="both"/>
      </w:pPr>
      <w:r>
        <w:rPr>
          <w:i/>
          <w:iCs/>
          <w:color w:val="2C3A64"/>
          <w:sz w:val="24"/>
          <w:szCs w:val="24"/>
        </w:rPr>
        <w:t xml:space="preserve">Sebagian pasien terus kembali dengan keluhan yang sama bukan karena obatnya salah, melainkan karena mereka pulang ke lingkungan yang terus membuat mereka sakit.</w:t>
      </w:r>
    </w:p>
    <w:p>
      <w:pPr>
        <w:spacing w:after="160"/>
        <w:jc w:val="both"/>
      </w:pPr>
      <w:r>
        <w:t xml:space="preserve">Dokter layanan primer perlu peka terhadap determinan lingkungan dan pekerjaan yang memengaruhi kesehatan populasi wilayah kerjanya — mulai dari kualitas air dan sanitasi, paparan okupasi pada pekerja informal yang dominan di banyak wilayah Indonesia, hingga risiko kesehatan akibat perubahan iklim yang semakin relevan bagi pola penyakit tropis (Buku Tematik 3).</w:t>
      </w:r>
    </w:p>
    <w:p>
      <w:pPr>
        <w:pStyle w:val="Heading1"/>
        <w:spacing w:after="150" w:before="300"/>
      </w:pPr>
      <w:r>
        <w:t xml:space="preserve">BAB VII — KEDOKTERAN KELUARGA BERBASIS BUKTI DI KOMUNITAS</w:t>
      </w:r>
    </w:p>
    <w:p>
      <w:pPr>
        <w:spacing w:after="160" w:before="40"/>
        <w:jc w:val="both"/>
      </w:pPr>
      <w:r>
        <w:rPr>
          <w:i/>
          <w:iCs/>
          <w:color w:val="2C3A64"/>
          <w:sz w:val="24"/>
          <w:szCs w:val="24"/>
        </w:rPr>
        <w:t xml:space="preserve">Bukti ilmiah yang berasal dari studi di negara lain tidak selalu berlaku begitu saja untuk pasien di depan mata — bab ini melatih kejelian membedakannya.</w:t>
      </w:r>
    </w:p>
    <w:p>
      <w:pPr>
        <w:spacing w:after="160"/>
        <w:jc w:val="both"/>
      </w:pPr>
      <w:r>
        <w:t xml:space="preserve">Praktik berbasis bukti (evidence-based practice) di layanan primer memerlukan kemampuan kritis menilai bukti ilmiah dan mengadaptasikannya pada konteks populasi lokal, mengingat banyak bukti klinis berasal dari studi pada populasi yang berbeda karakteristiknya. Kemampuan penelusuran literatur dasar dan penilaian kritis menjadi keterampilan pendukung yang relevan bagi seluruh buku tematik lain dalam ekosistem ini.</w:t>
      </w:r>
    </w:p>
    <w:p>
      <w:pPr>
        <w:pStyle w:val="Heading1"/>
        <w:spacing w:after="150" w:before="300"/>
      </w:pPr>
      <w:r>
        <w:t xml:space="preserve">BAB VII-A — PENJENJANGAN CAPAIAN PEMBELAJARAN TAHUN I–IV: KEDOKTERAN KOMUNITAS DAN KESEHATAN MASYARAKAT</w:t>
      </w:r>
    </w:p>
    <w:p>
      <w:pPr>
        <w:spacing w:after="160" w:before="40"/>
        <w:jc w:val="both"/>
      </w:pPr>
      <w:r>
        <w:rPr>
          <w:i/>
          <w:iCs/>
          <w:color w:val="2C3A64"/>
          <w:sz w:val="24"/>
          <w:szCs w:val="24"/>
        </w:rPr>
        <w:t xml:space="preserve">Menyembuhkan satu pasien diare tidak menghentikan wabah di sumur yang sama — penjenjangan berikut menandai perluasan pandangan dari pasien ke populasi binaan.</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data dasar wilayah kerja dan indikator kesehatan masyarakat setempat.</w:t>
            </w:r>
          </w:p>
        </w:tc>
        <w:tc>
          <w:tcPr>
            <w:tcW w:type="dxa" w:w="2250"/>
          </w:tcPr>
          <w:p>
            <w:r>
              <w:t xml:space="preserve">Observasi dan dibimbing langsung.</w:t>
            </w:r>
          </w:p>
        </w:tc>
        <w:tc>
          <w:tcPr>
            <w:tcW w:type="dxa" w:w="2250"/>
          </w:tcPr>
          <w:p>
            <w:r>
              <w:t xml:space="preserve">Mampu membaca dan menginterpretasi data profil kesehatan wilayah kerja dasar.</w:t>
            </w:r>
          </w:p>
        </w:tc>
      </w:tr>
      <w:tr>
        <w:tc>
          <w:tcPr>
            <w:tcW w:type="dxa" w:w="2250"/>
          </w:tcPr>
          <w:p>
            <w:r>
              <w:t xml:space="preserve">Tahun II</w:t>
            </w:r>
          </w:p>
        </w:tc>
        <w:tc>
          <w:tcPr>
            <w:tcW w:type="dxa" w:w="2250"/>
          </w:tcPr>
          <w:p>
            <w:r>
              <w:t xml:space="preserve">Menyusun diagnosis komunitas sederhana dan berpartisipasi dalam program kesehatan prioritas.</w:t>
            </w:r>
          </w:p>
        </w:tc>
        <w:tc>
          <w:tcPr>
            <w:tcW w:type="dxa" w:w="2250"/>
          </w:tcPr>
          <w:p>
            <w:r>
              <w:t xml:space="preserve">Dibimbing tidak langsung.</w:t>
            </w:r>
          </w:p>
        </w:tc>
        <w:tc>
          <w:tcPr>
            <w:tcW w:type="dxa" w:w="2250"/>
          </w:tcPr>
          <w:p>
            <w:r>
              <w:t xml:space="preserve">Mampu menyusun diagnosis komunitas dan mengusulkan intervensi awal.</w:t>
            </w:r>
          </w:p>
        </w:tc>
      </w:tr>
      <w:tr>
        <w:tc>
          <w:tcPr>
            <w:tcW w:type="dxa" w:w="2250"/>
          </w:tcPr>
          <w:p>
            <w:r>
              <w:t xml:space="preserve">Tahun III</w:t>
            </w:r>
          </w:p>
        </w:tc>
        <w:tc>
          <w:tcPr>
            <w:tcW w:type="dxa" w:w="2250"/>
          </w:tcPr>
          <w:p>
            <w:r>
              <w:t xml:space="preserve">Memimpin pelaksanaan program kesehatan masyarakat prioritas dan pemberdayaan lintas sektor.</w:t>
            </w:r>
          </w:p>
        </w:tc>
        <w:tc>
          <w:tcPr>
            <w:tcW w:type="dxa" w:w="2250"/>
          </w:tcPr>
          <w:p>
            <w:r>
              <w:t xml:space="preserve">Mandiri dengan supervisi berkala.</w:t>
            </w:r>
          </w:p>
        </w:tc>
        <w:tc>
          <w:tcPr>
            <w:tcW w:type="dxa" w:w="2250"/>
          </w:tcPr>
          <w:p>
            <w:r>
              <w:t xml:space="preserve">Mampu memimpin pelaksanaan satu program kesehatan masyarakat secara utuh.</w:t>
            </w:r>
          </w:p>
        </w:tc>
      </w:tr>
      <w:tr>
        <w:tc>
          <w:tcPr>
            <w:tcW w:type="dxa" w:w="2250"/>
          </w:tcPr>
          <w:p>
            <w:r>
              <w:t xml:space="preserve">Tahun IV</w:t>
            </w:r>
          </w:p>
        </w:tc>
        <w:tc>
          <w:tcPr>
            <w:tcW w:type="dxa" w:w="2250"/>
          </w:tcPr>
          <w:p>
            <w:r>
              <w:t xml:space="preserve">Merancang dan mengevaluasi kebijakan kesehatan tingkat wilayah kerja berbasis bukti epidemiologis.</w:t>
            </w:r>
          </w:p>
        </w:tc>
        <w:tc>
          <w:tcPr>
            <w:tcW w:type="dxa" w:w="2250"/>
          </w:tcPr>
          <w:p>
            <w:r>
              <w:t xml:space="preserve">Mandiri penuh, peran Community Leader.</w:t>
            </w:r>
          </w:p>
        </w:tc>
        <w:tc>
          <w:tcPr>
            <w:tcW w:type="dxa" w:w="2250"/>
          </w:tcPr>
          <w:p>
            <w:r>
              <w:t xml:space="preserve">Mampu mengevaluasi dampak program kesehatan masyarakat yang dijalankan.</w:t>
            </w:r>
          </w:p>
        </w:tc>
      </w:tr>
    </w:tbl>
    <w:p>
      <w:pPr>
        <w:spacing w:after="160"/>
      </w:pPr>
    </w:p>
    <w:p>
      <w:pPr>
        <w:pStyle w:val="Heading1"/>
        <w:spacing w:after="150" w:before="300"/>
      </w:pPr>
      <w:r>
        <w:t xml:space="preserve">BAB VII-B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tahu tiga masalah kesehatan masyarakat terbesar di wilayah kerja saya, lengkap dengan datanya?</w:t>
      </w:r>
    </w:p>
    <w:p>
      <w:pPr>
        <w:pStyle w:val="ListParagraph"/>
        <w:numPr>
          <w:ilvl w:val="0"/>
          <w:numId w:val="1"/>
        </w:numPr>
        <w:spacing w:after="90"/>
      </w:pPr>
      <w:r>
        <w:t xml:space="preserve">Sudahkah saya melibatkan tokoh masyarakat/kader dalam merancang intervensi, bukan hanya menyusunnya sendiri di ruang praktik?</w:t>
      </w:r>
    </w:p>
    <w:p>
      <w:pPr>
        <w:pStyle w:val="ListParagraph"/>
        <w:numPr>
          <w:ilvl w:val="0"/>
          <w:numId w:val="1"/>
        </w:numPr>
        <w:spacing w:after="90"/>
      </w:pPr>
      <w:r>
        <w:t xml:space="preserve">Bagaimana saya memastikan program yang saya jalankan benar-benar dievaluasi dampaknya, bukan hanya dilaksanakan?</w:t>
      </w:r>
    </w:p>
    <w:p>
      <w:pPr>
        <w:pStyle w:val="ListParagraph"/>
        <w:numPr>
          <w:ilvl w:val="0"/>
          <w:numId w:val="1"/>
        </w:numPr>
        <w:spacing w:after="90"/>
      </w:pPr>
      <w:r>
        <w:t xml:space="preserve">Apakah saya mempertimbangkan faktor lingkungan dan okupasi saat pasien datang berulang dengan keluhan serupa?</w:t>
      </w:r>
    </w:p>
    <w:p>
      <w:pPr>
        <w:pStyle w:val="Heading1"/>
        <w:spacing w:after="150" w:before="300"/>
      </w:pPr>
      <w:r>
        <w:t xml:space="preserve">BAB VIII — PENUTUP</w:t>
      </w:r>
    </w:p>
    <w:p>
      <w:pPr>
        <w:spacing w:after="160"/>
        <w:jc w:val="both"/>
      </w:pPr>
      <w:r>
        <w:t xml:space="preserve">Kedokteran komunitas dan kesehatan masyarakat melengkapi kompetensi klinis individual pada buku-buku tematik lain dengan perspektif populasi, mewujudkan tanggung jawab dokter spesialis kedokteran keluarga layanan primer bukan hanya kepada pasien yang datang, tetapi kepada seluruh populasi wilayah kerjanya.</w:t>
      </w:r>
    </w:p>
    <w:p>
      <w:pPr>
        <w:pStyle w:val="Heading2"/>
        <w:spacing w:after="120" w:before="250"/>
      </w:pPr>
      <w:r>
        <w:t xml:space="preserve">Glosarium</w:t>
      </w:r>
    </w:p>
    <w:p>
      <w:pPr>
        <w:spacing w:after="90"/>
      </w:pPr>
      <w:r>
        <w:rPr>
          <w:b/>
          <w:bCs/>
        </w:rPr>
        <w:t xml:space="preserve">Diagnosis Komunitas — </w:t>
      </w:r>
      <w:r>
        <w:t xml:space="preserve">Proses sistematis mengidentifikasi masalah kesehatan prioritas suatu wilayah kerja.</w:t>
      </w:r>
    </w:p>
    <w:p>
      <w:pPr>
        <w:spacing w:after="90"/>
      </w:pPr>
      <w:r>
        <w:rPr>
          <w:b/>
          <w:bCs/>
        </w:rPr>
        <w:t xml:space="preserve">Determinan Sosial Kesehatan — </w:t>
      </w:r>
      <w:r>
        <w:t xml:space="preserve">Faktor non-medis (pendidikan, ekonomi, lingkungan) yang memengaruhi status kesehatan populasi.</w:t>
      </w:r>
    </w:p>
    <w:p>
      <w:pPr>
        <w:spacing w:after="90"/>
      </w:pPr>
      <w:r>
        <w:rPr>
          <w:b/>
          <w:bCs/>
        </w:rPr>
        <w:t xml:space="preserve">Surveilans Kesehatan Masyarakat — </w:t>
      </w:r>
      <w:r>
        <w:t xml:space="preserve">Pemantauan berkelanjutan pola penyakit untuk deteksi dini kejadian luar biasa/wabah.</w:t>
      </w:r>
    </w:p>
    <w:p>
      <w:pPr>
        <w:spacing w:after="90"/>
      </w:pPr>
      <w:r>
        <w:rPr>
          <w:b/>
          <w:bCs/>
        </w:rPr>
        <w:t xml:space="preserve">Evidence-Based Practice — </w:t>
      </w:r>
      <w:r>
        <w:t xml:space="preserve">Praktik klinis yang mengintegrasikan bukti ilmiah terbaik, keahlian klinis, dan nilai/preferensi pasien atau populasi.</w:t>
      </w:r>
    </w:p>
    <w:p>
      <w:pPr>
        <w:spacing w:after="90"/>
      </w:pPr>
      <w:r>
        <w:rPr>
          <w:b/>
          <w:bCs/>
        </w:rPr>
        <w:t xml:space="preserve">Pemberdayaan Masyarakat — </w:t>
      </w:r>
      <w:r>
        <w:t xml:space="preserve">Pendekatan yang menekankan partisipasi aktif warga dalam identifikasi masalah dan perencanaan solusi kesehatan.</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data dan target program kesehatan masyarakat dalam buku ini bersifat umum; pembaca disarankan merujuk Profil Kesehatan Indonesia dan regulasi Kementerian Kesehatan RI edisi terkini sebagai acuan definitif.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2026-07-17T19:08:14.704Z</dcterms:created>
  <dcterms:modified xsi:type="dcterms:W3CDTF">2026-07-17T19:08:14.704Z</dcterms:modified>
</cp:coreProperties>
</file>

<file path=docProps/custom.xml><?xml version="1.0" encoding="utf-8"?>
<Properties xmlns="http://schemas.openxmlformats.org/officeDocument/2006/custom-properties" xmlns:vt="http://schemas.openxmlformats.org/officeDocument/2006/docPropsVTypes"/>
</file>