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jc w:val="center"/>
      </w:pPr>
      <w:r>
        <w:t xml:space="preserve">PERPUSTAKAAN DIGITAL ABBA</w:t>
      </w:r>
    </w:p>
    <w:p>
      <w:pPr>
        <w:jc w:val="center"/>
      </w:pPr>
      <w:r>
        <w:t xml:space="preserve">Jl. Kerinci Raya No. 9, Malang 65138</w:t>
      </w:r>
    </w:p>
    <w:p>
      <w:pPr>
        <w:spacing w:after="200"/>
      </w:pPr>
    </w:p>
    <w:p>
      <w:pPr>
        <w:jc w:val="center"/>
      </w:pPr>
      <w:r>
        <w:rPr>
          <w:sz w:val="20"/>
          <w:szCs w:val="20"/>
        </w:rPr>
        <w:t xml:space="preserve">Buku Tematik 7 dari Klaster Digital — Ekosistem Buku Pendidikan Dokter Spesialis Kedokteran Keluarga Layanan Primer (SpKKLP)</w:t>
      </w:r>
    </w:p>
    <w:p>
      <w:pPr>
        <w:spacing w:after="200"/>
      </w:pPr>
    </w:p>
    <w:p>
      <w:pPr>
        <w:jc w:val="center"/>
      </w:pPr>
      <w:r>
        <w:rPr>
          <w:b/>
          <w:bCs/>
          <w:sz w:val="36"/>
          <w:szCs w:val="36"/>
        </w:rPr>
        <w:t xml:space="preserve">Kegawatdaruratan dan Sistem Rujukan Berjenjang di Layanan Primer</w:t>
      </w:r>
    </w:p>
    <w:p>
      <w:pPr>
        <w:spacing w:after="400"/>
      </w:pPr>
    </w:p>
    <w:p>
      <w:pPr>
        <w:jc w:val="center"/>
      </w:pPr>
      <w:r>
        <w:t xml:space="preserve">Disusun oleh</w:t>
      </w:r>
    </w:p>
    <w:p>
      <w:pPr>
        <w:jc w:val="center"/>
      </w:pPr>
      <w:r>
        <w:rPr>
          <w:b/>
          <w:bCs/>
        </w:rPr>
        <w:t xml:space="preserve">Dr.dr. H. Budi Siswanto, Sp.OG, Subsp.Obginsos., SH., S.Kom.</w:t>
      </w:r>
    </w:p>
    <w:p>
      <w:pPr>
        <w:jc w:val="center"/>
      </w:pPr>
      <w:r>
        <w:t xml:space="preserve">2026</w:t>
      </w:r>
    </w:p>
    <w:p>
      <w:pPr>
        <w:pageBreakBefore/>
      </w:pPr>
    </w:p>
    <w:p>
      <w:pPr>
        <w:pStyle w:val="Heading1"/>
        <w:spacing w:after="150" w:before="300"/>
      </w:pPr>
      <w:r>
        <w:t xml:space="preserve">BAB I — PERAN LAYANAN PRIMER DALAM SISTEM KEGAWATDARURATAN</w:t>
      </w:r>
    </w:p>
    <w:p>
      <w:pPr>
        <w:spacing w:after="160" w:before="40"/>
        <w:jc w:val="both"/>
      </w:pPr>
      <w:r>
        <w:rPr>
          <w:i/>
          <w:iCs/>
          <w:color w:val="2C3A64"/>
          <w:sz w:val="24"/>
          <w:szCs w:val="24"/>
        </w:rPr>
        <w:t xml:space="preserve">Fasilitas layanan primer jarang punya alat selengkap rumah sakit — tapi ketika kegawatdaruratan datang tiba-tiba di depan pintu, tidak ada waktu untuk merujuk pikiran ke tempat lain. Bab ini melatih keputusan cepat dengan sumber daya terbatas.</w:t>
      </w:r>
    </w:p>
    <w:p>
      <w:pPr>
        <w:spacing w:after="160"/>
        <w:jc w:val="both"/>
      </w:pPr>
      <w:r>
        <w:t xml:space="preserve">Meski bukan pusat rujukan kegawatdaruratan definitif, fasilitas layanan primer sering menjadi titik kontak pertama pasien dengan kondisi gawat darurat. Kompetensi stabilisasi awal dan keputusan rujukan yang cepat dan tepat menjadi keterampilan yang berpotensi menyelamatkan nyawa, terlepas dari keterbatasan sumber daya layanan primer.</w:t>
      </w:r>
    </w:p>
    <w:p>
      <w:pPr>
        <w:pBdr>
          <w:left w:val="single" w:color="A9812F" w:sz="24"/>
        </w:pBdr>
        <w:shd w:fill="FBEFD9" w:val="clear"/>
        <w:spacing w:after="200" w:before="100"/>
        <w:ind w:left="200"/>
      </w:pPr>
      <w:r>
        <w:rPr>
          <w:b/>
          <w:bCs/>
          <w:color w:val="8A6410"/>
        </w:rPr>
        <w:t xml:space="preserve">⚠ TINJAU TENAGA KESEHATAN — </w:t>
      </w:r>
      <w:r>
        <w:rPr>
          <w:i/>
          <w:iCs/>
        </w:rPr>
        <w:t xml:space="preserve">algoritma dan protokol kegawatdaruratan spesifik pada bab-bab berikut wajib ditinjau ulang terhadap pedoman resmi terkini (mis. Basic Life Support/Advanced Cardiac Life Support edisi berlaku, pedoman PPGD) dan disesuaikan dengan fasilitas serta kewenangan klinis institusi masing-masing.</w:t>
      </w:r>
    </w:p>
    <w:p>
      <w:pPr>
        <w:pStyle w:val="Heading1"/>
        <w:spacing w:after="150" w:before="300"/>
      </w:pPr>
      <w:r>
        <w:t xml:space="preserve">BAB II — TRIASE DI LAYANAN PRIMER</w:t>
      </w:r>
    </w:p>
    <w:p>
      <w:pPr>
        <w:spacing w:after="160" w:before="40"/>
        <w:jc w:val="both"/>
      </w:pPr>
      <w:r>
        <w:rPr>
          <w:i/>
          <w:iCs/>
          <w:color w:val="2C3A64"/>
          <w:sz w:val="24"/>
          <w:szCs w:val="24"/>
        </w:rPr>
        <w:t xml:space="preserve">Ketika tiga pasien datang bersamaan dan hanya ada satu dokter, keputusan siapa yang ditangani lebih dulu bisa jadi keputusan paling penting hari itu.</w:t>
      </w:r>
    </w:p>
    <w:p>
      <w:pPr>
        <w:spacing w:after="160"/>
        <w:jc w:val="both"/>
      </w:pPr>
      <w:r>
        <w:t xml:space="preserve">Triase adalah proses pengelompokan pasien berdasarkan tingkat kegawatan untuk menentukan prioritas penanganan. Di layanan primer dengan sumber daya terbatas, triase yang cepat dan akurat menjadi keterampilan kritis yang harus dikuasai seluruh tenaga kesehatan, bukan hanya dokter.</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4500"/>
        <w:gridCol w:w="4500"/>
      </w:tblGrid>
      <w:tr>
        <w:tc>
          <w:tcPr>
            <w:tcW w:type="dxa" w:w="4500"/>
            <w:shd w:fill="2C3A64" w:val="clear"/>
          </w:tcPr>
          <w:p>
            <w:r>
              <w:rPr>
                <w:b/>
                <w:bCs/>
                <w:color w:val="FFFFFF"/>
              </w:rPr>
              <w:t xml:space="preserve">Kategori Triase (prinsip umum)</w:t>
            </w:r>
          </w:p>
        </w:tc>
        <w:tc>
          <w:tcPr>
            <w:tcW w:type="dxa" w:w="4500"/>
            <w:shd w:fill="2C3A64" w:val="clear"/>
          </w:tcPr>
          <w:p>
            <w:r>
              <w:rPr>
                <w:b/>
                <w:bCs/>
                <w:color w:val="FFFFFF"/>
              </w:rPr>
              <w:t xml:space="preserve">Contoh Presentasi</w:t>
            </w:r>
          </w:p>
        </w:tc>
      </w:tr>
      <w:tr>
        <w:tc>
          <w:tcPr>
            <w:tcW w:type="dxa" w:w="4500"/>
          </w:tcPr>
          <w:p>
            <w:r>
              <w:t xml:space="preserve">Gawat darurat — perlu tindakan segera</w:t>
            </w:r>
          </w:p>
        </w:tc>
        <w:tc>
          <w:tcPr>
            <w:tcW w:type="dxa" w:w="4500"/>
          </w:tcPr>
          <w:p>
            <w:r>
              <w:t xml:space="preserve">Sumbatan jalan napas, henti jantung, perdarahan masif, syok</w:t>
            </w:r>
          </w:p>
        </w:tc>
      </w:tr>
      <w:tr>
        <w:tc>
          <w:tcPr>
            <w:tcW w:type="dxa" w:w="4500"/>
          </w:tcPr>
          <w:p>
            <w:r>
              <w:t xml:space="preserve">Gawat tidak darurat — perlu evaluasi cepat</w:t>
            </w:r>
          </w:p>
        </w:tc>
        <w:tc>
          <w:tcPr>
            <w:tcW w:type="dxa" w:w="4500"/>
          </w:tcPr>
          <w:p>
            <w:r>
              <w:t xml:space="preserve">Nyeri dada dengan hemodinamik stabil, cedera dengan deformitas tanpa gangguan sirkulasi</w:t>
            </w:r>
          </w:p>
        </w:tc>
      </w:tr>
      <w:tr>
        <w:tc>
          <w:tcPr>
            <w:tcW w:type="dxa" w:w="4500"/>
          </w:tcPr>
          <w:p>
            <w:r>
              <w:t xml:space="preserve">Tidak gawat tidak darurat — dapat menunggu</w:t>
            </w:r>
          </w:p>
        </w:tc>
        <w:tc>
          <w:tcPr>
            <w:tcW w:type="dxa" w:w="4500"/>
          </w:tcPr>
          <w:p>
            <w:r>
              <w:t xml:space="preserve">Keluhan kronik stabil, keluhan ringan tanpa tanda bahaya</w:t>
            </w:r>
          </w:p>
        </w:tc>
      </w:tr>
    </w:tbl>
    <w:p>
      <w:pPr>
        <w:spacing w:after="160"/>
      </w:pPr>
    </w:p>
    <w:p>
      <w:pPr>
        <w:pStyle w:val="Heading1"/>
        <w:spacing w:after="150" w:before="300"/>
      </w:pPr>
      <w:r>
        <w:t xml:space="preserve">BAB III — PRINSIP RESUSITASI DASAR (BASIC LIFE SUPPORT)</w:t>
      </w:r>
    </w:p>
    <w:p>
      <w:pPr>
        <w:spacing w:after="160" w:before="40"/>
        <w:jc w:val="both"/>
      </w:pPr>
      <w:r>
        <w:rPr>
          <w:i/>
          <w:iCs/>
          <w:color w:val="2C3A64"/>
          <w:sz w:val="24"/>
          <w:szCs w:val="24"/>
        </w:rPr>
        <w:t xml:space="preserve">Ada keterampilan yang tidak boleh ragu-ragu dilakukan meski belum pernah dipraktikkan di luar pelatihan — resusitasi jantung paru adalah salah satunya.</w:t>
      </w:r>
    </w:p>
    <w:p>
      <w:pPr>
        <w:spacing w:after="160"/>
        <w:jc w:val="both"/>
      </w:pPr>
      <w:r>
        <w:t xml:space="preserve">Penguasaan resusitasi jantung paru dasar merupakan kompetensi wajib yang harus dapat dilakukan oleh dokter layanan primer tanpa penundaan, mencakup pengenalan henti jantung, aktivasi sistem bantuan, kompresi dada berkualitas tinggi, dan penggunaan defibrilator eksternal otomatis bila tersedia — sesuai pelatihan bersertifikat yang berlaku dan diperbarui secara berkala.</w:t>
      </w:r>
    </w:p>
    <w:p>
      <w:pPr>
        <w:pStyle w:val="Heading1"/>
        <w:spacing w:after="150" w:before="300"/>
      </w:pPr>
      <w:r>
        <w:t xml:space="preserve">BAB IV — STABILISASI KEGAWATDARURATAN JALAN NAPAS DAN PERNAPASAN</w:t>
      </w:r>
    </w:p>
    <w:p>
      <w:pPr>
        <w:spacing w:after="160" w:before="40"/>
        <w:jc w:val="both"/>
      </w:pPr>
      <w:r>
        <w:rPr>
          <w:i/>
          <w:iCs/>
          <w:color w:val="2C3A64"/>
          <w:sz w:val="24"/>
          <w:szCs w:val="24"/>
        </w:rPr>
        <w:t xml:space="preserve">Jalan napas yang tersumbat memberi waktu dalam hitungan menit, bukan jam — itulah mengapa "Airway" selalu didahulukan dalam urutan penilaian apa pun.</w:t>
      </w:r>
    </w:p>
    <w:p>
      <w:pPr>
        <w:spacing w:after="160"/>
        <w:jc w:val="both"/>
      </w:pPr>
      <w:r>
        <w:t xml:space="preserve">Penilaian dan stabilisasi jalan napas serta pernapasan mengikuti prinsip sistematis (Airway, Breathing) sebelum melangkah ke penilaian sirkulasi, mengingat gangguan jalan napas dapat berakibat fatal dalam hitungan menit.</w:t>
      </w:r>
    </w:p>
    <w:p>
      <w:pPr>
        <w:pStyle w:val="ListParagraph"/>
        <w:numPr>
          <w:ilvl w:val="0"/>
          <w:numId w:val="1"/>
        </w:numPr>
        <w:spacing w:after="90"/>
      </w:pPr>
      <w:r>
        <w:t xml:space="preserve">Pengenalan tanda sumbatan jalan napas: stridor, suara napas tambahan, perubahan suara.</w:t>
      </w:r>
    </w:p>
    <w:p>
      <w:pPr>
        <w:pStyle w:val="ListParagraph"/>
        <w:numPr>
          <w:ilvl w:val="0"/>
          <w:numId w:val="1"/>
        </w:numPr>
        <w:spacing w:after="90"/>
      </w:pPr>
      <w:r>
        <w:t xml:space="preserve">Manuver pembebasan jalan napas dasar yang dapat dilakukan tanpa alat khusus.</w:t>
      </w:r>
    </w:p>
    <w:p>
      <w:pPr>
        <w:pStyle w:val="ListParagraph"/>
        <w:numPr>
          <w:ilvl w:val="0"/>
          <w:numId w:val="1"/>
        </w:numPr>
        <w:spacing w:after="90"/>
      </w:pPr>
      <w:r>
        <w:t xml:space="preserve">Pengenalan tanda gagal napas yang memerlukan bantuan oksigen segera dan rujukan.</w:t>
      </w:r>
    </w:p>
    <w:p>
      <w:pPr>
        <w:pStyle w:val="ListParagraph"/>
        <w:numPr>
          <w:ilvl w:val="0"/>
          <w:numId w:val="1"/>
        </w:numPr>
        <w:spacing w:after="90"/>
      </w:pPr>
      <w:r>
        <w:t xml:space="preserve">Kewaspadaan pada kelompok berisiko tinggi: anak kecil, lansia dengan komorbiditas paru, dan pasien dengan riwayat alergi berat (anafilaksis).</w:t>
      </w:r>
    </w:p>
    <w:p>
      <w:pPr>
        <w:pStyle w:val="Heading1"/>
        <w:spacing w:after="150" w:before="300"/>
      </w:pPr>
      <w:r>
        <w:t xml:space="preserve">BAB V — SYOK DAN STABILISASI SIRKULASI</w:t>
      </w:r>
    </w:p>
    <w:p>
      <w:pPr>
        <w:spacing w:after="160" w:before="40"/>
        <w:jc w:val="both"/>
      </w:pPr>
      <w:r>
        <w:rPr>
          <w:i/>
          <w:iCs/>
          <w:color w:val="2C3A64"/>
          <w:sz w:val="24"/>
          <w:szCs w:val="24"/>
        </w:rPr>
        <w:t xml:space="preserve">Tubuh manusia pandai menyembunyikan syok pada tahap awal — tekanan darah bisa tetap normal sementara di baliknya organ vital mulai kekurangan aliran darah.</w:t>
      </w:r>
    </w:p>
    <w:p>
      <w:pPr>
        <w:spacing w:after="160"/>
        <w:jc w:val="both"/>
      </w:pPr>
      <w:r>
        <w:t xml:space="preserve">Pengenalan dini tanda syok — sebelum tekanan darah turun secara nyata — menjadi keterampilan penting karena kompensasi tubuh dapat menyamarkan kegawatan pada tahap awal. Prinsip tata laksana awal mencakup identifikasi kemungkinan penyebab (hipovolemik, kardiogenik, distributif, obstruktif), akses intravena, dan rujukan segera dengan stabilisasi yang sesuai kapasitas fasilitas.</w:t>
      </w:r>
    </w:p>
    <w:p>
      <w:pPr>
        <w:pStyle w:val="Heading1"/>
        <w:spacing w:after="150" w:before="300"/>
      </w:pPr>
      <w:r>
        <w:t xml:space="preserve">BAB VI — KEGAWATDARURATAN LAZIM DI LAYANAN PRIMER</w:t>
      </w:r>
    </w:p>
    <w:p>
      <w:pPr>
        <w:spacing w:after="160" w:before="40"/>
        <w:jc w:val="both"/>
      </w:pPr>
      <w:r>
        <w:rPr>
          <w:i/>
          <w:iCs/>
          <w:color w:val="2C3A64"/>
          <w:sz w:val="24"/>
          <w:szCs w:val="24"/>
        </w:rPr>
        <w:t xml:space="preserve">Tanpa fasilitas diagnostik lengkap, pengenalan pola klinis menjadi senjata utama dokter layanan primer dalam menghadapi kegawatan.</w:t>
      </w:r>
    </w:p>
    <w:p>
      <w:pPr>
        <w:spacing w:after="160"/>
        <w:jc w:val="both"/>
      </w:pPr>
      <w:r>
        <w:t xml:space="preserve">Sejumlah kondisi kegawatdaruratan memerlukan pengenalan pola klinis khas yang memungkinkan dokter layanan primer bertindak cepat meski tanpa fasilitas diagnostik lengkap.</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4500"/>
        <w:gridCol w:w="4500"/>
      </w:tblGrid>
      <w:tr>
        <w:tc>
          <w:tcPr>
            <w:tcW w:type="dxa" w:w="4500"/>
            <w:shd w:fill="2C3A64" w:val="clear"/>
          </w:tcPr>
          <w:p>
            <w:r>
              <w:rPr>
                <w:b/>
                <w:bCs/>
                <w:color w:val="FFFFFF"/>
              </w:rPr>
              <w:t xml:space="preserve">Kondisi</w:t>
            </w:r>
          </w:p>
        </w:tc>
        <w:tc>
          <w:tcPr>
            <w:tcW w:type="dxa" w:w="4500"/>
            <w:shd w:fill="2C3A64" w:val="clear"/>
          </w:tcPr>
          <w:p>
            <w:r>
              <w:rPr>
                <w:b/>
                <w:bCs/>
                <w:color w:val="FFFFFF"/>
              </w:rPr>
              <w:t xml:space="preserve">Prinsip Pengenalan dan Tindakan Awal</w:t>
            </w:r>
          </w:p>
        </w:tc>
      </w:tr>
      <w:tr>
        <w:tc>
          <w:tcPr>
            <w:tcW w:type="dxa" w:w="4500"/>
          </w:tcPr>
          <w:p>
            <w:r>
              <w:t xml:space="preserve">Anafilaksis</w:t>
            </w:r>
          </w:p>
        </w:tc>
        <w:tc>
          <w:tcPr>
            <w:tcW w:type="dxa" w:w="4500"/>
          </w:tcPr>
          <w:p>
            <w:r>
              <w:t xml:space="preserve">Onset cepat setelah pajanan alergen, gangguan jalan napas/sirkulasi; tata laksana segera sesuai protokol dan rujukan</w:t>
            </w:r>
          </w:p>
        </w:tc>
      </w:tr>
      <w:tr>
        <w:tc>
          <w:tcPr>
            <w:tcW w:type="dxa" w:w="4500"/>
          </w:tcPr>
          <w:p>
            <w:r>
              <w:t xml:space="preserve">Kejang akut</w:t>
            </w:r>
          </w:p>
        </w:tc>
        <w:tc>
          <w:tcPr>
            <w:tcW w:type="dxa" w:w="4500"/>
          </w:tcPr>
          <w:p>
            <w:r>
              <w:t xml:space="preserve">Proteksi jalan napas dan cedera, penilaian durasi; status epileptikus memerlukan rujukan segera</w:t>
            </w:r>
          </w:p>
        </w:tc>
      </w:tr>
      <w:tr>
        <w:tc>
          <w:tcPr>
            <w:tcW w:type="dxa" w:w="4500"/>
          </w:tcPr>
          <w:p>
            <w:r>
              <w:t xml:space="preserve">Trauma dengan kecurigaan cedera tulang belakang</w:t>
            </w:r>
          </w:p>
        </w:tc>
        <w:tc>
          <w:tcPr>
            <w:tcW w:type="dxa" w:w="4500"/>
          </w:tcPr>
          <w:p>
            <w:r>
              <w:t xml:space="preserve">Imobilisasi sebelum evaluasi dan transportasi lebih lanjut</w:t>
            </w:r>
          </w:p>
        </w:tc>
      </w:tr>
      <w:tr>
        <w:tc>
          <w:tcPr>
            <w:tcW w:type="dxa" w:w="4500"/>
          </w:tcPr>
          <w:p>
            <w:r>
              <w:t xml:space="preserve">Nyeri dada akut dengan kecurigaan sindrom koroner akut</w:t>
            </w:r>
          </w:p>
        </w:tc>
        <w:tc>
          <w:tcPr>
            <w:tcW w:type="dxa" w:w="4500"/>
          </w:tcPr>
          <w:p>
            <w:r>
              <w:t xml:space="preserve">Stabilisasi awal dan rujukan segera tanpa penundaan untuk evaluasi lanjut</w:t>
            </w:r>
          </w:p>
        </w:tc>
      </w:tr>
      <w:tr>
        <w:tc>
          <w:tcPr>
            <w:tcW w:type="dxa" w:w="4500"/>
          </w:tcPr>
          <w:p>
            <w:r>
              <w:t xml:space="preserve">Perdarahan pascasalin</w:t>
            </w:r>
          </w:p>
        </w:tc>
        <w:tc>
          <w:tcPr>
            <w:tcW w:type="dxa" w:w="4500"/>
          </w:tcPr>
          <w:p>
            <w:r>
              <w:t xml:space="preserve">Kewaspadaan pada persalinan di fasilitas primer, tata laksana awal dan rujukan segera sesuai protokol</w:t>
            </w:r>
          </w:p>
        </w:tc>
      </w:tr>
    </w:tbl>
    <w:p>
      <w:pPr>
        <w:spacing w:after="160"/>
      </w:pPr>
    </w:p>
    <w:p>
      <w:pPr>
        <w:pBdr>
          <w:left w:val="single" w:color="A9812F" w:sz="24"/>
        </w:pBdr>
        <w:shd w:fill="FBEFD9" w:val="clear"/>
        <w:spacing w:after="200" w:before="100"/>
        <w:ind w:left="200"/>
      </w:pPr>
      <w:r>
        <w:rPr>
          <w:b/>
          <w:bCs/>
          <w:color w:val="8A6410"/>
        </w:rPr>
        <w:t xml:space="preserve">⚠ TINJAU TENAGA KESEHATAN — </w:t>
      </w:r>
      <w:r>
        <w:rPr>
          <w:i/>
          <w:iCs/>
        </w:rPr>
        <w:t xml:space="preserve">daftar kondisi di atas bersifat ilustratif dan tidak lengkap; kriteria klinis rinci dan algoritma tata laksana definitif wajib mengikuti pedoman resmi berlaku.</w:t>
      </w:r>
    </w:p>
    <w:p>
      <w:pPr>
        <w:pBdr>
          <w:left w:val="single" w:color="2C3A64" w:sz="24"/>
        </w:pBdr>
        <w:shd w:fill="EEF1F8" w:val="clear"/>
        <w:spacing w:after="200" w:before="100"/>
        <w:ind w:left="200"/>
      </w:pPr>
      <w:r>
        <w:rPr>
          <w:b/>
          <w:bCs/>
          <w:color w:val="2C3A64"/>
        </w:rPr>
        <w:t xml:space="preserve">🩺 Ilustrasi Kasus — </w:t>
      </w:r>
      <w:r>
        <w:t xml:space="preserve">Seorang laki-laki 55 tahun datang ke klinik pratama dengan nyeri dada yang menjalar ke lengan kiri sejak 30 menit lalu. Tanpa alat EKG di tempat, dokter mengandalkan pengenalan pola klinis: karakteristik nyeri, faktor risiko, dan tanda vital yang mencurigakan sindrom koroner akut. Rujukan segera dilakukan tanpa menunggu pemeriksaan tambahan — keputusan yang terbukti tepat setelah fasilitas rujukan mengonfirmasi infark miokard akut.</w:t>
      </w:r>
    </w:p>
    <w:p>
      <w:pPr>
        <w:pStyle w:val="Heading1"/>
        <w:spacing w:after="150" w:before="300"/>
      </w:pPr>
      <w:r>
        <w:t xml:space="preserve">BAB VII — SISTEM RUJUKAN BERJENJANG</w:t>
      </w:r>
    </w:p>
    <w:p>
      <w:pPr>
        <w:spacing w:after="160" w:before="40"/>
        <w:jc w:val="both"/>
      </w:pPr>
      <w:r>
        <w:rPr>
          <w:i/>
          <w:iCs/>
          <w:color w:val="2C3A64"/>
          <w:sz w:val="24"/>
          <w:szCs w:val="24"/>
        </w:rPr>
        <w:t xml:space="preserve">Rujukan yang baik bukan sekadar mengirim pasien pergi — ini tentang memastikan informasi klinis ikut menyertainya, dan pasien kembali pada waktunya.</w:t>
      </w:r>
    </w:p>
    <w:p>
      <w:pPr>
        <w:pStyle w:val="Heading2"/>
        <w:spacing w:after="120" w:before="250"/>
      </w:pPr>
      <w:r>
        <w:t xml:space="preserve">A. Jenis Rujukan</w:t>
      </w:r>
    </w:p>
    <w:p>
      <w:pPr>
        <w:spacing w:after="160"/>
        <w:jc w:val="both"/>
      </w:pPr>
      <w:r>
        <w:t xml:space="preserve">Sistem rujukan berjenjang adalah mekanisme yang mengatur alur pelayanan kesehatan dari fasilitas kesehatan tingkat pertama menuju fasilitas kesehatan tingkat lanjut secara terstruktur, sesuai kebutuhan klinis dan kapasitas fasilitas — bukan sekadar mekanisme administratif, melainkan bagian dari mutu keselamatan pasien.</w:t>
      </w:r>
    </w:p>
    <w:p>
      <w:pPr>
        <w:pStyle w:val="ListParagraph"/>
        <w:numPr>
          <w:ilvl w:val="0"/>
          <w:numId w:val="1"/>
        </w:numPr>
        <w:spacing w:after="90"/>
      </w:pPr>
      <w:r>
        <w:t xml:space="preserve">Rujukan terencana pada kondisi yang memerlukan pemeriksaan/tata laksana di luar kewenangan atau fasilitas layanan primer, namun tidak mengancam nyawa segera.</w:t>
      </w:r>
    </w:p>
    <w:p>
      <w:pPr>
        <w:pStyle w:val="ListParagraph"/>
        <w:numPr>
          <w:ilvl w:val="0"/>
          <w:numId w:val="1"/>
        </w:numPr>
        <w:spacing w:after="90"/>
      </w:pPr>
      <w:r>
        <w:t xml:space="preserve">Rujukan gawat darurat yang memerlukan komunikasi langsung dengan fasilitas penerima dan stabilisasi optimal selama transportasi.</w:t>
      </w:r>
    </w:p>
    <w:p>
      <w:pPr>
        <w:pStyle w:val="Heading2"/>
        <w:spacing w:after="120" w:before="250"/>
      </w:pPr>
      <w:r>
        <w:t xml:space="preserve">B. Kelengkapan Surat Rujukan dan Rujukan Balik</w:t>
      </w:r>
    </w:p>
    <w:p>
      <w:pPr>
        <w:spacing w:after="160"/>
        <w:jc w:val="both"/>
      </w:pPr>
      <w:r>
        <w:t xml:space="preserve">Kelengkapan surat rujukan — ringkasan klinis, tindakan yang telah dilakukan, dan alasan rujukan yang jelas — menjadi kunci kesinambungan perawatan. Rujukan balik (referral back) sebagai bagian integral sistem memastikan layanan primer tetap menjadi koordinator perawatan jangka panjang pasien.</w:t>
      </w:r>
    </w:p>
    <w:p>
      <w:pPr>
        <w:pStyle w:val="Heading1"/>
        <w:spacing w:after="150" w:before="300"/>
      </w:pPr>
      <w:r>
        <w:t xml:space="preserve">BAB VIII — KOMUNIKASI DALAM SITUASI KRISIS DAN PENYAMPAIAN BERITA BURUK</w:t>
      </w:r>
    </w:p>
    <w:p>
      <w:pPr>
        <w:spacing w:after="160" w:before="40"/>
        <w:jc w:val="both"/>
      </w:pPr>
      <w:r>
        <w:rPr>
          <w:i/>
          <w:iCs/>
          <w:color w:val="2C3A64"/>
          <w:sz w:val="24"/>
          <w:szCs w:val="24"/>
        </w:rPr>
        <w:t xml:space="preserve">Menstabilkan tubuh pasien hanyalah separuh pekerjaan — separuh lainnya adalah menenangkan keluarga yang menunggu di luar dengan wajah cemas.</w:t>
      </w:r>
    </w:p>
    <w:p>
      <w:pPr>
        <w:spacing w:after="160"/>
        <w:jc w:val="both"/>
      </w:pPr>
      <w:r>
        <w:t xml:space="preserve">Kegawatdaruratan sering disertai kebutuhan komunikasi krisis dengan keluarga pasien, termasuk kemungkinan penyampaian berita buruk. Keterampilan komunikasi yang tenang, jelas, dan berempati — sejalan dengan prinsip patient-centered clinical method (Buku Tematik 1) — menjadi bagian tak terpisahkan dari kompetensi kegawatdaruratan, bukan sekadar keterampilan teknis semata.</w:t>
      </w:r>
    </w:p>
    <w:p>
      <w:pPr>
        <w:pStyle w:val="Heading1"/>
        <w:spacing w:after="150" w:before="300"/>
      </w:pPr>
      <w:r>
        <w:t xml:space="preserve">BAB VIII-A — PENJENJANGAN CAPAIAN PEMBELAJARAN TAHUN I–IV: KEGAWATDARURATAN DAN SISTEM RUJUKAN BERJENJANG</w:t>
      </w:r>
    </w:p>
    <w:p>
      <w:pPr>
        <w:spacing w:after="160" w:before="40"/>
        <w:jc w:val="both"/>
      </w:pPr>
      <w:r>
        <w:rPr>
          <w:i/>
          <w:iCs/>
          <w:color w:val="2C3A64"/>
          <w:sz w:val="24"/>
          <w:szCs w:val="24"/>
        </w:rPr>
        <w:t xml:space="preserve">Stabilisasi awal yang tepat dalam sepuluh menit pertama sering menentukan nasib pasien jauh sebelum ambulans tiba — penjenjangan berikut menandai kesiapan mengambil sepuluh menit itu sendirian.</w:t>
      </w:r>
    </w:p>
    <w:p>
      <w:pPr>
        <w:spacing w:after="160"/>
        <w:jc w:val="both"/>
      </w:pPr>
      <w:r>
        <w:t xml:space="preserve">Penjenjangan berikut merupakan usulan kerangka penahapan berbasis pola umum pendidikan spesialis empat tahun dan notasi penjenjangan capaian pembelajaran Perkonsil 65/2019 (mis. tingkat kemampuan 1–4A), diselaraskan dengan topik buku ini. Kedalaman dan urutan aktual tetap mengikuti kurikulum operasional program studi serta hasil evaluasi individual peserta didik — tabel ini bukan pengganti matriks kewenangan klinis resmi (lihat Dokumen P4).</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2250"/>
        <w:gridCol w:w="2250"/>
        <w:gridCol w:w="2250"/>
        <w:gridCol w:w="2250"/>
      </w:tblGrid>
      <w:tr>
        <w:tc>
          <w:tcPr>
            <w:tcW w:type="dxa" w:w="2250"/>
            <w:shd w:fill="2C3A64" w:val="clear"/>
          </w:tcPr>
          <w:p>
            <w:r>
              <w:rPr>
                <w:b/>
                <w:bCs/>
                <w:color w:val="FFFFFF"/>
              </w:rPr>
              <w:t xml:space="preserve">Tahun Pendidikan</w:t>
            </w:r>
          </w:p>
        </w:tc>
        <w:tc>
          <w:tcPr>
            <w:tcW w:type="dxa" w:w="2250"/>
            <w:shd w:fill="2C3A64" w:val="clear"/>
          </w:tcPr>
          <w:p>
            <w:r>
              <w:rPr>
                <w:b/>
                <w:bCs/>
                <w:color w:val="FFFFFF"/>
              </w:rPr>
              <w:t xml:space="preserve">Fokus Belajar Utama</w:t>
            </w:r>
          </w:p>
        </w:tc>
        <w:tc>
          <w:tcPr>
            <w:tcW w:type="dxa" w:w="2250"/>
            <w:shd w:fill="2C3A64" w:val="clear"/>
          </w:tcPr>
          <w:p>
            <w:r>
              <w:rPr>
                <w:b/>
                <w:bCs/>
                <w:color w:val="FFFFFF"/>
              </w:rPr>
              <w:t xml:space="preserve">Tingkat Kemandirian Klinis</w:t>
            </w:r>
          </w:p>
        </w:tc>
        <w:tc>
          <w:tcPr>
            <w:tcW w:type="dxa" w:w="2250"/>
            <w:shd w:fill="2C3A64" w:val="clear"/>
          </w:tcPr>
          <w:p>
            <w:r>
              <w:rPr>
                <w:b/>
                <w:bCs/>
                <w:color w:val="FFFFFF"/>
              </w:rPr>
              <w:t xml:space="preserve">Capaian yang Diharapkan</w:t>
            </w:r>
          </w:p>
        </w:tc>
      </w:tr>
      <w:tr>
        <w:tc>
          <w:tcPr>
            <w:tcW w:type="dxa" w:w="2250"/>
          </w:tcPr>
          <w:p>
            <w:r>
              <w:t xml:space="preserve">Tahun I</w:t>
            </w:r>
          </w:p>
        </w:tc>
        <w:tc>
          <w:tcPr>
            <w:tcW w:type="dxa" w:w="2250"/>
          </w:tcPr>
          <w:p>
            <w:r>
              <w:t xml:space="preserve">Mengenali tanda kegawatan dan melakukan triase dasar di bawah observasi.</w:t>
            </w:r>
          </w:p>
        </w:tc>
        <w:tc>
          <w:tcPr>
            <w:tcW w:type="dxa" w:w="2250"/>
          </w:tcPr>
          <w:p>
            <w:r>
              <w:t xml:space="preserve">Observasi dan dibimbing langsung.</w:t>
            </w:r>
          </w:p>
        </w:tc>
        <w:tc>
          <w:tcPr>
            <w:tcW w:type="dxa" w:w="2250"/>
          </w:tcPr>
          <w:p>
            <w:r>
              <w:t xml:space="preserve">Mampu melakukan triase dasar dan resusitasi jantung paru dasar dengan supervisi.</w:t>
            </w:r>
          </w:p>
        </w:tc>
      </w:tr>
      <w:tr>
        <w:tc>
          <w:tcPr>
            <w:tcW w:type="dxa" w:w="2250"/>
          </w:tcPr>
          <w:p>
            <w:r>
              <w:t xml:space="preserve">Tahun II</w:t>
            </w:r>
          </w:p>
        </w:tc>
        <w:tc>
          <w:tcPr>
            <w:tcW w:type="dxa" w:w="2250"/>
          </w:tcPr>
          <w:p>
            <w:r>
              <w:t xml:space="preserve">Melakukan stabilisasi awal jalan napas, pernapasan, dan sirkulasi pada kasus umum.</w:t>
            </w:r>
          </w:p>
        </w:tc>
        <w:tc>
          <w:tcPr>
            <w:tcW w:type="dxa" w:w="2250"/>
          </w:tcPr>
          <w:p>
            <w:r>
              <w:t xml:space="preserve">Dibimbing tidak langsung.</w:t>
            </w:r>
          </w:p>
        </w:tc>
        <w:tc>
          <w:tcPr>
            <w:tcW w:type="dxa" w:w="2250"/>
          </w:tcPr>
          <w:p>
            <w:r>
              <w:t xml:space="preserve">Mampu menstabilkan kasus gawat darurat umum sebelum rujukan.</w:t>
            </w:r>
          </w:p>
        </w:tc>
      </w:tr>
      <w:tr>
        <w:tc>
          <w:tcPr>
            <w:tcW w:type="dxa" w:w="2250"/>
          </w:tcPr>
          <w:p>
            <w:r>
              <w:t xml:space="preserve">Tahun III</w:t>
            </w:r>
          </w:p>
        </w:tc>
        <w:tc>
          <w:tcPr>
            <w:tcW w:type="dxa" w:w="2250"/>
          </w:tcPr>
          <w:p>
            <w:r>
              <w:t xml:space="preserve">Mengelola kegawatdaruratan kompleks dan memimpin tim kecil dalam situasi krisis.</w:t>
            </w:r>
          </w:p>
        </w:tc>
        <w:tc>
          <w:tcPr>
            <w:tcW w:type="dxa" w:w="2250"/>
          </w:tcPr>
          <w:p>
            <w:r>
              <w:t xml:space="preserve">Mandiri dengan supervisi berkala.</w:t>
            </w:r>
          </w:p>
        </w:tc>
        <w:tc>
          <w:tcPr>
            <w:tcW w:type="dxa" w:w="2250"/>
          </w:tcPr>
          <w:p>
            <w:r>
              <w:t xml:space="preserve">Mampu memimpin stabilisasi kasus gawat darurat kompleks dan komunikasi rujukan efektif.</w:t>
            </w:r>
          </w:p>
        </w:tc>
      </w:tr>
      <w:tr>
        <w:tc>
          <w:tcPr>
            <w:tcW w:type="dxa" w:w="2250"/>
          </w:tcPr>
          <w:p>
            <w:r>
              <w:t xml:space="preserve">Tahun IV</w:t>
            </w:r>
          </w:p>
        </w:tc>
        <w:tc>
          <w:tcPr>
            <w:tcW w:type="dxa" w:w="2250"/>
          </w:tcPr>
          <w:p>
            <w:r>
              <w:t xml:space="preserve">Merancang dan mengevaluasi sistem rujukan berjenjang tingkat wilayah kerja.</w:t>
            </w:r>
          </w:p>
        </w:tc>
        <w:tc>
          <w:tcPr>
            <w:tcW w:type="dxa" w:w="2250"/>
          </w:tcPr>
          <w:p>
            <w:r>
              <w:t xml:space="preserve">Mandiri penuh, peran koordinasi sistem rujukan.</w:t>
            </w:r>
          </w:p>
        </w:tc>
        <w:tc>
          <w:tcPr>
            <w:tcW w:type="dxa" w:w="2250"/>
          </w:tcPr>
          <w:p>
            <w:r>
              <w:t xml:space="preserve">Mampu mengevaluasi mutu sistem rujukan gawat darurat di wilayah kerja.</w:t>
            </w:r>
          </w:p>
        </w:tc>
      </w:tr>
    </w:tbl>
    <w:p>
      <w:pPr>
        <w:spacing w:after="160"/>
      </w:pPr>
    </w:p>
    <w:p>
      <w:pPr>
        <w:pStyle w:val="Heading1"/>
        <w:spacing w:after="150" w:before="300"/>
      </w:pPr>
      <w:r>
        <w:t xml:space="preserve">BAB VIII-B — EVALUASI DIRI DAN PERTANYAAN REFLEKTIF</w:t>
      </w:r>
    </w:p>
    <w:p>
      <w:pPr>
        <w:spacing w:after="160" w:before="40"/>
        <w:jc w:val="both"/>
      </w:pPr>
      <w:r>
        <w:rPr>
          <w:i/>
          <w:iCs/>
          <w:color w:val="2C3A64"/>
          <w:sz w:val="24"/>
          <w:szCs w:val="24"/>
        </w:rPr>
        <w:t xml:space="preserve">Kompetensi yang sesungguhnya sering terlihat bukan dari apa yang bisa dijelaskan di ujian lisan, melainkan dari pertanyaan jujur yang diajukan pada diri sendiri setelah kunjungan pasien selesai.</w:t>
      </w:r>
    </w:p>
    <w:p>
      <w:pPr>
        <w:spacing w:after="160"/>
        <w:jc w:val="both"/>
      </w:pPr>
      <w:r>
        <w:t xml:space="preserve">Pertanyaan reflektif berikut dapat digunakan peserta didik sebagai bahan evaluasi diri berkala (mis. mengisi jurnal reflektif mingguan) maupun bahan diskusi terstruktur dengan dokter pembimbing klinis, melengkapi instrumen penilaian formal pada Dokumen P6.</w:t>
      </w:r>
    </w:p>
    <w:p>
      <w:pPr>
        <w:pStyle w:val="ListParagraph"/>
        <w:numPr>
          <w:ilvl w:val="0"/>
          <w:numId w:val="1"/>
        </w:numPr>
        <w:spacing w:after="90"/>
      </w:pPr>
      <w:r>
        <w:t xml:space="preserve">Apakah saya benar-benar hafal langkah stabilisasi jalan napas-pernapasan-sirkulasi tanpa perlu membuka catatan?</w:t>
      </w:r>
    </w:p>
    <w:p>
      <w:pPr>
        <w:pStyle w:val="ListParagraph"/>
        <w:numPr>
          <w:ilvl w:val="0"/>
          <w:numId w:val="1"/>
        </w:numPr>
        <w:spacing w:after="90"/>
      </w:pPr>
      <w:r>
        <w:t xml:space="preserve">Sudahkah saya berlatih menyampaikan berita buruk kepada keluarga dengan tenang, bukan tergesa-gesa?</w:t>
      </w:r>
    </w:p>
    <w:p>
      <w:pPr>
        <w:pStyle w:val="ListParagraph"/>
        <w:numPr>
          <w:ilvl w:val="0"/>
          <w:numId w:val="1"/>
        </w:numPr>
        <w:spacing w:after="90"/>
      </w:pPr>
      <w:r>
        <w:t xml:space="preserve">Bagaimana kesiapan alat dan obat gawat darurat di tempat praktik saya — sudahkah saya mengeceknya sendiri?</w:t>
      </w:r>
    </w:p>
    <w:p>
      <w:pPr>
        <w:pStyle w:val="ListParagraph"/>
        <w:numPr>
          <w:ilvl w:val="0"/>
          <w:numId w:val="1"/>
        </w:numPr>
        <w:spacing w:after="90"/>
      </w:pPr>
      <w:r>
        <w:t xml:space="preserve">Apakah komunikasi rujukan saya ke fasilitas rujukan sudah cukup jelas dan terstruktur (mis. format SBAR)?</w:t>
      </w:r>
    </w:p>
    <w:p>
      <w:pPr>
        <w:pStyle w:val="Heading1"/>
        <w:spacing w:after="150" w:before="300"/>
      </w:pPr>
      <w:r>
        <w:t xml:space="preserve">BAB IX — PENUTUP</w:t>
      </w:r>
    </w:p>
    <w:p>
      <w:pPr>
        <w:spacing w:after="160"/>
        <w:jc w:val="both"/>
      </w:pPr>
      <w:r>
        <w:t xml:space="preserve">Kompetensi kegawatdaruratan dan rujukan berjenjang menjadi jaring pengaman (safety net) sistem layanan primer secara keseluruhan, melengkapi seluruh buku tematik lain dalam ekosistem ini yang secara konsisten menandai kriteria rujukan pada kondisi di luar kewenangan layanan primer.</w:t>
      </w:r>
    </w:p>
    <w:p>
      <w:pPr>
        <w:pStyle w:val="Heading2"/>
        <w:spacing w:after="120" w:before="250"/>
      </w:pPr>
      <w:r>
        <w:t xml:space="preserve">Glosarium</w:t>
      </w:r>
    </w:p>
    <w:p>
      <w:pPr>
        <w:spacing w:after="90"/>
      </w:pPr>
      <w:r>
        <w:rPr>
          <w:b/>
          <w:bCs/>
        </w:rPr>
        <w:t xml:space="preserve">Triase — </w:t>
      </w:r>
      <w:r>
        <w:t xml:space="preserve">Proses pengelompokan pasien berdasarkan tingkat kegawatan untuk menentukan prioritas penanganan.</w:t>
      </w:r>
    </w:p>
    <w:p>
      <w:pPr>
        <w:spacing w:after="90"/>
      </w:pPr>
      <w:r>
        <w:rPr>
          <w:b/>
          <w:bCs/>
        </w:rPr>
        <w:t xml:space="preserve">Basic Life Support — </w:t>
      </w:r>
      <w:r>
        <w:t xml:space="preserve">Rangkaian tindakan resusitasi dasar untuk mempertahankan sirkulasi dan pernapasan pada henti jantung.</w:t>
      </w:r>
    </w:p>
    <w:p>
      <w:pPr>
        <w:spacing w:after="90"/>
      </w:pPr>
      <w:r>
        <w:rPr>
          <w:b/>
          <w:bCs/>
        </w:rPr>
        <w:t xml:space="preserve">Anafilaksis — </w:t>
      </w:r>
      <w:r>
        <w:t xml:space="preserve">Reaksi alergi sistemik berat dan mengancam nyawa yang memerlukan tata laksana segera.</w:t>
      </w:r>
    </w:p>
    <w:p>
      <w:pPr>
        <w:spacing w:after="90"/>
      </w:pPr>
      <w:r>
        <w:rPr>
          <w:b/>
          <w:bCs/>
        </w:rPr>
        <w:t xml:space="preserve">Rujukan Berjenjang — </w:t>
      </w:r>
      <w:r>
        <w:t xml:space="preserve">Mekanisme alur pelayanan kesehatan dari fasilitas tingkat pertama ke fasilitas tingkat lanjut sesuai kebutuhan klinis.</w:t>
      </w:r>
    </w:p>
    <w:p>
      <w:pPr>
        <w:spacing w:after="90"/>
      </w:pPr>
      <w:r>
        <w:rPr>
          <w:b/>
          <w:bCs/>
        </w:rPr>
        <w:t xml:space="preserve">Rujukan Balik — </w:t>
      </w:r>
      <w:r>
        <w:t xml:space="preserve">Pengembalian pasien ke fasilitas perujuk setelah tata laksana di fasilitas rujukan selesai, menjaga kesinambungan perawatan.</w:t>
      </w:r>
    </w:p>
    <w:p>
      <w:pPr>
        <w:pStyle w:val="Heading2"/>
        <w:spacing w:after="120" w:before="250"/>
      </w:pPr>
      <w:r>
        <w:t xml:space="preserve">Daftar Pustaka</w:t>
      </w:r>
    </w:p>
    <w:p>
      <w:pPr>
        <w:spacing w:after="90"/>
        <w:ind w:left="360" w:hanging="360"/>
      </w:pPr>
      <w:r>
        <w:t xml:space="preserve">Konsil Kedokteran Indonesia. Peraturan Konsil Kedokteran Indonesia Nomor 65 Tahun 2019.</w:t>
      </w:r>
    </w:p>
    <w:p>
      <w:pPr>
        <w:spacing w:after="90"/>
        <w:ind w:left="360" w:hanging="360"/>
      </w:pPr>
      <w:r>
        <w:t xml:space="preserve">Catatan: algoritma resusitasi dan kegawatdaruratan dalam buku ini bersifat prinsip umum; pembaca disarankan merujuk pedoman bersertifikat terkini (Basic/Advanced Life Support) dan regulasi sistem rujukan nasional (JKN/BPJS Kesehatan) yang berlaku.</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2026-07-17T19:08:14.477Z</dcterms:created>
  <dcterms:modified xsi:type="dcterms:W3CDTF">2026-07-17T19:08:14.477Z</dcterms:modified>
</cp:coreProperties>
</file>

<file path=docProps/custom.xml><?xml version="1.0" encoding="utf-8"?>
<Properties xmlns="http://schemas.openxmlformats.org/officeDocument/2006/custom-properties" xmlns:vt="http://schemas.openxmlformats.org/officeDocument/2006/docPropsVTypes"/>
</file>