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jc w:val="center"/>
      </w:pPr>
      <w:r>
        <w:t xml:space="preserve">PERPUSTAKAAN DIGITAL ABBA</w:t>
      </w:r>
    </w:p>
    <w:p>
      <w:pPr>
        <w:jc w:val="center"/>
      </w:pPr>
      <w:r>
        <w:t xml:space="preserve">Jl. Kerinci Raya No. 9, Malang 65138</w:t>
      </w:r>
    </w:p>
    <w:p>
      <w:pPr>
        <w:spacing w:after="200"/>
      </w:pPr>
    </w:p>
    <w:p>
      <w:pPr>
        <w:jc w:val="center"/>
      </w:pPr>
      <w:r>
        <w:rPr>
          <w:sz w:val="20"/>
          <w:szCs w:val="20"/>
        </w:rPr>
        <w:t xml:space="preserve">Buku Tematik 6 dari Klaster Digital — Ekosistem Buku Pendidikan Dokter Spesialis Kedokteran Keluarga Layanan Primer (SpKKLP)</w:t>
      </w:r>
    </w:p>
    <w:p>
      <w:pPr>
        <w:spacing w:after="200"/>
      </w:pPr>
    </w:p>
    <w:p>
      <w:pPr>
        <w:jc w:val="center"/>
      </w:pPr>
      <w:r>
        <w:rPr>
          <w:b/>
          <w:bCs/>
          <w:sz w:val="36"/>
          <w:szCs w:val="36"/>
        </w:rPr>
        <w:t xml:space="preserve">Geriatri dan Penyakit Degeneratif di Layanan Primer</w:t>
      </w:r>
    </w:p>
    <w:p>
      <w:pPr>
        <w:spacing w:after="400"/>
      </w:pPr>
    </w:p>
    <w:p>
      <w:pPr>
        <w:jc w:val="center"/>
      </w:pPr>
      <w:r>
        <w:t xml:space="preserve">Disusun oleh</w:t>
      </w:r>
    </w:p>
    <w:p>
      <w:pPr>
        <w:jc w:val="center"/>
      </w:pPr>
      <w:r>
        <w:rPr>
          <w:b/>
          <w:bCs/>
        </w:rPr>
        <w:t xml:space="preserve">Dr.dr. H. Budi Siswanto, Sp.OG, Subsp.Obginsos., SH., S.Kom.</w:t>
      </w:r>
    </w:p>
    <w:p>
      <w:pPr>
        <w:jc w:val="center"/>
      </w:pPr>
      <w:r>
        <w:t xml:space="preserve">2026</w:t>
      </w:r>
    </w:p>
    <w:p>
      <w:pPr>
        <w:pageBreakBefore/>
      </w:pPr>
    </w:p>
    <w:p>
      <w:pPr>
        <w:pStyle w:val="Heading1"/>
        <w:spacing w:after="150" w:before="300"/>
      </w:pPr>
      <w:r>
        <w:t xml:space="preserve">BAB I — TRANSISI DEMOGRAFI DAN TANTANGAN PERAWATAN LANSIA</w:t>
      </w:r>
    </w:p>
    <w:p>
      <w:pPr>
        <w:spacing w:after="160" w:before="40"/>
        <w:jc w:val="both"/>
      </w:pPr>
      <w:r>
        <w:rPr>
          <w:i/>
          <w:iCs/>
          <w:color w:val="2C3A64"/>
          <w:sz w:val="24"/>
          <w:szCs w:val="24"/>
        </w:rPr>
        <w:t xml:space="preserve">Pasien lansia yang datang dengan "hanya" satu keluhan sederhana sering kali membawa lima masalah kesehatan lain yang belum terucap. Bab ini mengajak berhenti berpikir per-penyakit dan mulai berpikir per-manusia.</w:t>
      </w:r>
    </w:p>
    <w:p>
      <w:pPr>
        <w:spacing w:after="160"/>
        <w:jc w:val="both"/>
      </w:pPr>
      <w:r>
        <w:t xml:space="preserve">Indonesia memasuki fase transisi demografi dengan populasi lansia yang terus bertambah, menuntut kesiapan layanan primer dalam menangani kompleksitas kesehatan lansia — yang berbeda secara fundamental dari pendekatan penyakit tunggal pada dewasa muda. Prinsip dasar geriatri di layanan primer adalah pengakuan bahwa lansia sering mengalami multimorbiditas yang saling berinteraksi.</w:t>
      </w:r>
    </w:p>
    <w:p>
      <w:pPr>
        <w:pBdr>
          <w:left w:val="single" w:color="A9812F" w:sz="24"/>
        </w:pBdr>
        <w:shd w:fill="FBEFD9" w:val="clear"/>
        <w:spacing w:after="200" w:before="100"/>
        <w:ind w:left="200"/>
      </w:pPr>
      <w:r>
        <w:rPr>
          <w:b/>
          <w:bCs/>
          <w:color w:val="8A6410"/>
        </w:rPr>
        <w:t xml:space="preserve">⚠ TINJAU TENAGA KESEHATAN — </w:t>
      </w:r>
      <w:r>
        <w:rPr>
          <w:i/>
          <w:iCs/>
        </w:rPr>
        <w:t xml:space="preserve">ambang diagnostik dan instrumen asesmen spesifik pada bab-bab berikut wajib ditinjau ulang terhadap pedoman nasional terbaru — PERGEMI — sebelum dipakai sebagai acuan definitif.</w:t>
      </w:r>
    </w:p>
    <w:p>
      <w:pPr>
        <w:pStyle w:val="Heading1"/>
        <w:spacing w:after="150" w:before="300"/>
      </w:pPr>
      <w:r>
        <w:t xml:space="preserve">BAB II — ASESMEN GERIATRI KOMPREHENSIF</w:t>
      </w:r>
    </w:p>
    <w:p>
      <w:pPr>
        <w:spacing w:after="160" w:before="40"/>
        <w:jc w:val="both"/>
      </w:pPr>
      <w:r>
        <w:rPr>
          <w:i/>
          <w:iCs/>
          <w:color w:val="2C3A64"/>
          <w:sz w:val="24"/>
          <w:szCs w:val="24"/>
        </w:rPr>
        <w:t xml:space="preserve">Menimbang berat badan dan mengukur tekanan darah saja tidak akan pernah mengungkap bahwa seorang nenek sebenarnya sudah tidak mampu lagi membuka tutup botol obatnya sendiri.</w:t>
      </w:r>
    </w:p>
    <w:p>
      <w:pPr>
        <w:pStyle w:val="Heading2"/>
        <w:spacing w:after="120" w:before="250"/>
      </w:pPr>
      <w:r>
        <w:t xml:space="preserve">A. Lima Domain Asesmen</w:t>
      </w:r>
    </w:p>
    <w:p>
      <w:pPr>
        <w:spacing w:after="160"/>
        <w:jc w:val="both"/>
      </w:pPr>
      <w:r>
        <w:t xml:space="preserve">Asesmen geriatri komprehensif (Comprehensive Geriatric Assessment) adalah proses evaluasi multidimensi yang mencakup domain medis, fungsional, kognitif, psikologis, dan sosial — melampaui pemeriksaan medis konvensional yang hanya berfokus pada keluhan tunggal.</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500"/>
        <w:gridCol w:w="4500"/>
      </w:tblGrid>
      <w:tr>
        <w:tc>
          <w:tcPr>
            <w:tcW w:type="dxa" w:w="4500"/>
            <w:shd w:fill="2C3A64" w:val="clear"/>
          </w:tcPr>
          <w:p>
            <w:r>
              <w:rPr>
                <w:b/>
                <w:bCs/>
                <w:color w:val="FFFFFF"/>
              </w:rPr>
              <w:t xml:space="preserve">Domain Asesmen</w:t>
            </w:r>
          </w:p>
        </w:tc>
        <w:tc>
          <w:tcPr>
            <w:tcW w:type="dxa" w:w="4500"/>
            <w:shd w:fill="2C3A64" w:val="clear"/>
          </w:tcPr>
          <w:p>
            <w:r>
              <w:rPr>
                <w:b/>
                <w:bCs/>
                <w:color w:val="FFFFFF"/>
              </w:rPr>
              <w:t xml:space="preserve">Fokus Penilaian</w:t>
            </w:r>
          </w:p>
        </w:tc>
      </w:tr>
      <w:tr>
        <w:tc>
          <w:tcPr>
            <w:tcW w:type="dxa" w:w="4500"/>
          </w:tcPr>
          <w:p>
            <w:r>
              <w:t xml:space="preserve">Medis</w:t>
            </w:r>
          </w:p>
        </w:tc>
        <w:tc>
          <w:tcPr>
            <w:tcW w:type="dxa" w:w="4500"/>
          </w:tcPr>
          <w:p>
            <w:r>
              <w:t xml:space="preserve">Daftar penyakit kronik, polifarmasi, status gizi</w:t>
            </w:r>
          </w:p>
        </w:tc>
      </w:tr>
      <w:tr>
        <w:tc>
          <w:tcPr>
            <w:tcW w:type="dxa" w:w="4500"/>
          </w:tcPr>
          <w:p>
            <w:r>
              <w:t xml:space="preserve">Fungsional</w:t>
            </w:r>
          </w:p>
        </w:tc>
        <w:tc>
          <w:tcPr>
            <w:tcW w:type="dxa" w:w="4500"/>
          </w:tcPr>
          <w:p>
            <w:r>
              <w:t xml:space="preserve">Kemampuan aktivitas dasar sehari-hari dan aktivitas instrumental (mis. mengelola keuangan, transportasi)</w:t>
            </w:r>
          </w:p>
        </w:tc>
      </w:tr>
      <w:tr>
        <w:tc>
          <w:tcPr>
            <w:tcW w:type="dxa" w:w="4500"/>
          </w:tcPr>
          <w:p>
            <w:r>
              <w:t xml:space="preserve">Kognitif</w:t>
            </w:r>
          </w:p>
        </w:tc>
        <w:tc>
          <w:tcPr>
            <w:tcW w:type="dxa" w:w="4500"/>
          </w:tcPr>
          <w:p>
            <w:r>
              <w:t xml:space="preserve">Penapisan gangguan kognitif dan risiko demensia</w:t>
            </w:r>
          </w:p>
        </w:tc>
      </w:tr>
      <w:tr>
        <w:tc>
          <w:tcPr>
            <w:tcW w:type="dxa" w:w="4500"/>
          </w:tcPr>
          <w:p>
            <w:r>
              <w:t xml:space="preserve">Psikologis</w:t>
            </w:r>
          </w:p>
        </w:tc>
        <w:tc>
          <w:tcPr>
            <w:tcW w:type="dxa" w:w="4500"/>
          </w:tcPr>
          <w:p>
            <w:r>
              <w:t xml:space="preserve">Penapisan depresi lansia, yang sering bermanifestasi berbeda dari dewasa muda</w:t>
            </w:r>
          </w:p>
        </w:tc>
      </w:tr>
      <w:tr>
        <w:tc>
          <w:tcPr>
            <w:tcW w:type="dxa" w:w="4500"/>
          </w:tcPr>
          <w:p>
            <w:r>
              <w:t xml:space="preserve">Sosial</w:t>
            </w:r>
          </w:p>
        </w:tc>
        <w:tc>
          <w:tcPr>
            <w:tcW w:type="dxa" w:w="4500"/>
          </w:tcPr>
          <w:p>
            <w:r>
              <w:t xml:space="preserve">Sistem dukungan keluarga, risiko isolasi sosial, kondisi tempat tinggal</w:t>
            </w:r>
          </w:p>
        </w:tc>
      </w:tr>
    </w:tbl>
    <w:p>
      <w:pPr>
        <w:spacing w:after="160"/>
      </w:pPr>
    </w:p>
    <w:p>
      <w:pPr>
        <w:pStyle w:val="Heading2"/>
        <w:spacing w:after="120" w:before="250"/>
      </w:pPr>
      <w:r>
        <w:t xml:space="preserve">B. Genogram dan Ecomap dalam Domain Sosial</w:t>
      </w:r>
    </w:p>
    <w:p>
      <w:pPr>
        <w:spacing w:after="160"/>
        <w:jc w:val="both"/>
      </w:pPr>
      <w:r>
        <w:t xml:space="preserve">Genogram dan ecomap (Buku Tematik 1) menjadi perangkat penting dalam domain sosial asesmen geriatri, membantu mengidentifikasi pengasuh utama (caregiver) dan potensi beban pengasuhan (caregiver burden) yang memerlukan dukungan tersendiri.</w:t>
      </w:r>
    </w:p>
    <w:p>
      <w:pPr>
        <w:pBdr>
          <w:left w:val="single" w:color="2C3A64" w:sz="24"/>
        </w:pBdr>
        <w:shd w:fill="EEF1F8" w:val="clear"/>
        <w:spacing w:after="200" w:before="100"/>
        <w:ind w:left="200"/>
      </w:pPr>
      <w:r>
        <w:rPr>
          <w:b/>
          <w:bCs/>
          <w:color w:val="2C3A64"/>
        </w:rPr>
        <w:t xml:space="preserve">🩺 Ilustrasi Kasus — </w:t>
      </w:r>
      <w:r>
        <w:t xml:space="preserve">Seorang lansia laki-laki 78 tahun datang kontrol rutin hipertensi dengan tekanan darah terkendali baik di atas kertas. Asesmen fungsional yang dilakukan lebih menyeluruh mengungkap ia sudah dua kali terjatuh di kamar mandi dalam sebulan terakhir — informasi yang tidak pernah muncul karena tidak ada yang bertanya. Penemuan ini mengubah fokus kunjungan dari sekadar "obat sudah cocok" menjadi rencana pencegahan jatuh yang melibatkan modifikasi rumah.</w:t>
      </w:r>
    </w:p>
    <w:p>
      <w:pPr>
        <w:pStyle w:val="Heading1"/>
        <w:spacing w:after="150" w:before="300"/>
      </w:pPr>
      <w:r>
        <w:t xml:space="preserve">BAB III — SINDROM GERIATRI</w:t>
      </w:r>
    </w:p>
    <w:p>
      <w:pPr>
        <w:spacing w:after="160" w:before="40"/>
        <w:jc w:val="both"/>
      </w:pPr>
      <w:r>
        <w:rPr>
          <w:i/>
          <w:iCs/>
          <w:color w:val="2C3A64"/>
          <w:sz w:val="24"/>
          <w:szCs w:val="24"/>
        </w:rPr>
        <w:t xml:space="preserve">Sindrom geriatri tidak muncul di buku diagnosis mana pun sebagai satu penyakit tunggal — tapi dampaknya terhadap kemandirian pasien bisa lebih besar dari penyakit kronik manapun.</w:t>
      </w:r>
    </w:p>
    <w:p>
      <w:pPr>
        <w:spacing w:after="160"/>
        <w:jc w:val="both"/>
      </w:pPr>
      <w:r>
        <w:t xml:space="preserve">Sindrom geriatri adalah kumpulan kondisi klinis khas lansia yang bersifat multifaktorial, tidak selalu masuk kategori diagnosis penyakit tunggal, namun berdampak besar pada kualitas hidup dan kemandirian.</w:t>
      </w:r>
    </w:p>
    <w:p>
      <w:pPr>
        <w:pStyle w:val="ListParagraph"/>
        <w:numPr>
          <w:ilvl w:val="0"/>
          <w:numId w:val="1"/>
        </w:numPr>
        <w:spacing w:after="90"/>
      </w:pPr>
      <w:r>
        <w:t xml:space="preserve">Risiko jatuh — memerlukan penilaian gaya berjalan, keseimbangan, tinjauan obat yang meningkatkan risiko jatuh, dan asesmen lingkungan rumah.</w:t>
      </w:r>
    </w:p>
    <w:p>
      <w:pPr>
        <w:pStyle w:val="ListParagraph"/>
        <w:numPr>
          <w:ilvl w:val="0"/>
          <w:numId w:val="1"/>
        </w:numPr>
        <w:spacing w:after="90"/>
      </w:pPr>
      <w:r>
        <w:t xml:space="preserve">Inkontinensia — sering tidak dilaporkan spontan oleh pasien karena rasa malu, memerlukan penggalian aktif.</w:t>
      </w:r>
    </w:p>
    <w:p>
      <w:pPr>
        <w:pStyle w:val="ListParagraph"/>
        <w:numPr>
          <w:ilvl w:val="0"/>
          <w:numId w:val="1"/>
        </w:numPr>
        <w:spacing w:after="90"/>
      </w:pPr>
      <w:r>
        <w:t xml:space="preserve">Gangguan kognitif dan delirium — memerlukan pembedaan cermat antara demensia kronik dan delirium akut yang reversibel.</w:t>
      </w:r>
    </w:p>
    <w:p>
      <w:pPr>
        <w:pStyle w:val="ListParagraph"/>
        <w:numPr>
          <w:ilvl w:val="0"/>
          <w:numId w:val="1"/>
        </w:numPr>
        <w:spacing w:after="90"/>
      </w:pPr>
      <w:r>
        <w:t xml:space="preserve">Polifarmasi — penggunaan banyak obat sekaligus yang meningkatkan risiko interaksi dan efek samping, memerlukan tinjauan obat berkala.</w:t>
      </w:r>
    </w:p>
    <w:p>
      <w:pPr>
        <w:pStyle w:val="ListParagraph"/>
        <w:numPr>
          <w:ilvl w:val="0"/>
          <w:numId w:val="1"/>
        </w:numPr>
        <w:spacing w:after="90"/>
      </w:pPr>
      <w:r>
        <w:t xml:space="preserve">Frailty (kerapuhan) — kondisi penurunan cadangan fisiologis multi-sistem yang meningkatkan kerentanan terhadap stresor kecil sekalipun.</w:t>
      </w:r>
    </w:p>
    <w:p>
      <w:pPr>
        <w:pStyle w:val="Heading1"/>
        <w:spacing w:after="150" w:before="300"/>
      </w:pPr>
      <w:r>
        <w:t xml:space="preserve">BAB IV — DEMENSIA DAN GANGGUAN KOGNITIF</w:t>
      </w:r>
    </w:p>
    <w:p>
      <w:pPr>
        <w:spacing w:after="160" w:before="40"/>
        <w:jc w:val="both"/>
      </w:pPr>
      <w:r>
        <w:rPr>
          <w:i/>
          <w:iCs/>
          <w:color w:val="2C3A64"/>
          <w:sz w:val="24"/>
          <w:szCs w:val="24"/>
        </w:rPr>
        <w:t xml:space="preserve">Kelupaan yang wajar pada usia lanjut dan tanda awal demensia sering terlihat sangat mirip di permukaan — perbedaannya baru terlihat bila dokter tahu apa yang harus dicari.</w:t>
      </w:r>
    </w:p>
    <w:p>
      <w:pPr>
        <w:pStyle w:val="Heading2"/>
        <w:spacing w:after="120" w:before="250"/>
      </w:pPr>
      <w:r>
        <w:t xml:space="preserve">A. Penapisan dan Penyingkiran Penyebab Reversibel</w:t>
      </w:r>
    </w:p>
    <w:p>
      <w:pPr>
        <w:spacing w:after="160"/>
        <w:jc w:val="both"/>
      </w:pPr>
      <w:r>
        <w:t xml:space="preserve">Deteksi dini gangguan kognitif memungkinkan intervensi lebih awal dan perencanaan perawatan jangka panjang bersama keluarga. Dokter layanan primer berperan dalam penapisan awal, penyingkiran penyebab reversibel (mis. defisiensi vitamin, gangguan tiroid, depresi yang menyerupai demensia/pseudodemensia), dan koordinasi rujukan pada kecurigaan demensia untuk konfirmasi diagnostik lebih lanjut.</w:t>
      </w:r>
    </w:p>
    <w:p>
      <w:pPr>
        <w:pStyle w:val="Heading2"/>
        <w:spacing w:after="120" w:before="250"/>
      </w:pPr>
      <w:r>
        <w:t xml:space="preserve">B. Dukungan bagi Keluarga Pengasuh</w:t>
      </w:r>
    </w:p>
    <w:p>
      <w:pPr>
        <w:spacing w:after="160"/>
        <w:jc w:val="both"/>
      </w:pPr>
      <w:r>
        <w:t xml:space="preserve">Edukasi dan dukungan keluarga pengasuh menjadi komponen tata laksana yang sama pentingnya dengan tata laksana pasien itu sendiri, mengingat perjalanan demensia yang progresif dan beban emosional-fisik yang ditanggung pengasuh dalam jangka panjang.</w:t>
      </w:r>
    </w:p>
    <w:p>
      <w:pPr>
        <w:pBdr>
          <w:left w:val="single" w:color="2C3A64" w:sz="24"/>
        </w:pBdr>
        <w:shd w:fill="EEF1F8" w:val="clear"/>
        <w:spacing w:after="200" w:before="100"/>
        <w:ind w:left="200"/>
      </w:pPr>
      <w:r>
        <w:rPr>
          <w:b/>
          <w:bCs/>
          <w:color w:val="2C3A64"/>
        </w:rPr>
        <w:t xml:space="preserve">🩺 Ilustrasi Kasus — </w:t>
      </w:r>
      <w:r>
        <w:t xml:space="preserve">Seorang anak perempuan membawa ibunya (74 tahun) karena "mulai pikun". Penapisan awal menyingkirkan defisiensi vitamin B12 dan gangguan tiroid, namun juga mengungkap gejala depresi yang cukup berat pada pasien — kondisi yang dikenal sebagai pseudodemensia. Setelah tata laksana depresi, fungsi kognitif membaik signifikan, menghindarkan diagnosis demensia yang keliru.</w:t>
      </w:r>
    </w:p>
    <w:p>
      <w:pPr>
        <w:pStyle w:val="Heading1"/>
        <w:spacing w:after="150" w:before="300"/>
      </w:pPr>
      <w:r>
        <w:t xml:space="preserve">BAB V — PENYAKIT DEGENERATIF MUSKULOSKELETAL</w:t>
      </w:r>
    </w:p>
    <w:p>
      <w:pPr>
        <w:spacing w:after="160" w:before="40"/>
        <w:jc w:val="both"/>
      </w:pPr>
      <w:r>
        <w:rPr>
          <w:i/>
          <w:iCs/>
          <w:color w:val="2C3A64"/>
          <w:sz w:val="24"/>
          <w:szCs w:val="24"/>
        </w:rPr>
        <w:t xml:space="preserve">Nyeri lutut yang dianggap "wajar karena tua" sering kali sebenarnya bisa dikelola sehingga pasien tetap bisa berjalan ke pasar sendiri tanpa bantuan.</w:t>
      </w:r>
    </w:p>
    <w:p>
      <w:pPr>
        <w:spacing w:after="160"/>
        <w:jc w:val="both"/>
      </w:pPr>
      <w:r>
        <w:t xml:space="preserve">Osteoartritis dan osteoporosis merupakan penyakit degeneratif muskuloskeletal tersering pada lansia, berdampak langsung pada mobilitas dan risiko jatuh. Tata laksana layanan primer menekankan manajemen nyeri yang rasional, latihan fisik yang disesuaikan dengan kapasitas fungsional, serta pencegahan fraktur pada osteoporosis melalui penilaian risiko dan edukasi.</w:t>
      </w:r>
    </w:p>
    <w:p>
      <w:pPr>
        <w:pStyle w:val="Heading1"/>
        <w:spacing w:after="150" w:before="300"/>
      </w:pPr>
      <w:r>
        <w:t xml:space="preserve">BAB VI — PERAWATAN PALIATIF DAN AKHIR HAYAT DI LAYANAN PRIMER</w:t>
      </w:r>
    </w:p>
    <w:p>
      <w:pPr>
        <w:spacing w:after="160" w:before="40"/>
        <w:jc w:val="both"/>
      </w:pPr>
      <w:r>
        <w:rPr>
          <w:i/>
          <w:iCs/>
          <w:color w:val="2C3A64"/>
          <w:sz w:val="24"/>
          <w:szCs w:val="24"/>
        </w:rPr>
        <w:t xml:space="preserve">Perawatan paliatif bukan tentang menyerah — ini tentang memastikan sisa waktu yang ada dijalani dengan martabat dan seminim mungkin penderitaan.</w:t>
      </w:r>
    </w:p>
    <w:p>
      <w:pPr>
        <w:spacing w:after="160"/>
        <w:jc w:val="both"/>
      </w:pPr>
      <w:r>
        <w:t xml:space="preserve">Perawatan paliatif bukan semata untuk kondisi terminal kanker, melainkan mencakup dukungan menyeluruh pada penyakit kronik progresif lain yang lazim pada lansia. Dokter layanan primer berperan dalam pengelolaan gejala (nyeri, sesak, kecemasan), komunikasi tentang tujuan perawatan (goals of care) bersama pasien dan keluarga, serta dukungan dukacita bagi keluarga yang ditinggalkan.</w:t>
      </w:r>
    </w:p>
    <w:p>
      <w:pPr>
        <w:pStyle w:val="Heading1"/>
        <w:spacing w:after="150" w:before="300"/>
      </w:pPr>
      <w:r>
        <w:t xml:space="preserve">BAB VII — PERAWATAN BERBASIS KELUARGA UNTUK LANSIA</w:t>
      </w:r>
    </w:p>
    <w:p>
      <w:pPr>
        <w:spacing w:after="160" w:before="40"/>
        <w:jc w:val="both"/>
      </w:pPr>
      <w:r>
        <w:rPr>
          <w:i/>
          <w:iCs/>
          <w:color w:val="2C3A64"/>
          <w:sz w:val="24"/>
          <w:szCs w:val="24"/>
        </w:rPr>
        <w:t xml:space="preserve">Merawat satu lansia sesungguhnya berarti merawat satu keluarga yang menopangnya.</w:t>
      </w:r>
    </w:p>
    <w:p>
      <w:pPr>
        <w:spacing w:after="160"/>
        <w:jc w:val="both"/>
      </w:pPr>
      <w:r>
        <w:t xml:space="preserve">Perawatan lansia di layanan primer tidak dapat dipisahkan dari konteks keluarga sebagai unit perawatan. Family life cycle (Buku Tematik 1) membantu dokter memahami tugas perkembangan keluarga pada tahap usia lanjut: adaptasi terhadap pensiun, kehilangan pasangan, dan pergeseran peran dalam struktur keluarga.</w:t>
      </w:r>
    </w:p>
    <w:p>
      <w:pPr>
        <w:pStyle w:val="Heading1"/>
        <w:spacing w:after="150" w:before="300"/>
      </w:pPr>
      <w:r>
        <w:t xml:space="preserve">BAB VII-A — PENJENJANGAN CAPAIAN PEMBELAJARAN TAHUN I–IV: GERIATRI DAN PENYAKIT DEGENERATIF</w:t>
      </w:r>
    </w:p>
    <w:p>
      <w:pPr>
        <w:spacing w:after="160" w:before="40"/>
        <w:jc w:val="both"/>
      </w:pPr>
      <w:r>
        <w:rPr>
          <w:i/>
          <w:iCs/>
          <w:color w:val="2C3A64"/>
          <w:sz w:val="24"/>
          <w:szCs w:val="24"/>
        </w:rPr>
        <w:t xml:space="preserve">Asesmen lansia yang baik jarang selesai dalam satu kunjungan sepuluh menit — penjenjangan berikut menandai kapan seorang peserta didik siap memimpin asesmen itu sendirian.</w:t>
      </w:r>
    </w:p>
    <w:p>
      <w:pPr>
        <w:spacing w:after="160"/>
        <w:jc w:val="both"/>
      </w:pPr>
      <w:r>
        <w:t xml:space="preserve">Penjenjangan berikut merupakan usulan kerangka penahapan berbasis pola umum pendidikan spesialis empat tahun dan notasi penjenjangan capaian pembelajaran Perkonsil 65/2019 (mis. tingkat kemampuan 1–4A), diselaraskan dengan topik buku ini. Kedalaman dan urutan aktual tetap mengikuti kurikulum operasional program studi serta hasil evaluasi individual peserta didik — tabel ini bukan pengganti matriks kewenangan klinis resmi (lihat Dokumen P4).</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250"/>
        <w:gridCol w:w="2250"/>
        <w:gridCol w:w="2250"/>
        <w:gridCol w:w="2250"/>
      </w:tblGrid>
      <w:tr>
        <w:tc>
          <w:tcPr>
            <w:tcW w:type="dxa" w:w="2250"/>
            <w:shd w:fill="2C3A64" w:val="clear"/>
          </w:tcPr>
          <w:p>
            <w:r>
              <w:rPr>
                <w:b/>
                <w:bCs/>
                <w:color w:val="FFFFFF"/>
              </w:rPr>
              <w:t xml:space="preserve">Tahun Pendidikan</w:t>
            </w:r>
          </w:p>
        </w:tc>
        <w:tc>
          <w:tcPr>
            <w:tcW w:type="dxa" w:w="2250"/>
            <w:shd w:fill="2C3A64" w:val="clear"/>
          </w:tcPr>
          <w:p>
            <w:r>
              <w:rPr>
                <w:b/>
                <w:bCs/>
                <w:color w:val="FFFFFF"/>
              </w:rPr>
              <w:t xml:space="preserve">Fokus Belajar Utama</w:t>
            </w:r>
          </w:p>
        </w:tc>
        <w:tc>
          <w:tcPr>
            <w:tcW w:type="dxa" w:w="2250"/>
            <w:shd w:fill="2C3A64" w:val="clear"/>
          </w:tcPr>
          <w:p>
            <w:r>
              <w:rPr>
                <w:b/>
                <w:bCs/>
                <w:color w:val="FFFFFF"/>
              </w:rPr>
              <w:t xml:space="preserve">Tingkat Kemandirian Klinis</w:t>
            </w:r>
          </w:p>
        </w:tc>
        <w:tc>
          <w:tcPr>
            <w:tcW w:type="dxa" w:w="2250"/>
            <w:shd w:fill="2C3A64" w:val="clear"/>
          </w:tcPr>
          <w:p>
            <w:r>
              <w:rPr>
                <w:b/>
                <w:bCs/>
                <w:color w:val="FFFFFF"/>
              </w:rPr>
              <w:t xml:space="preserve">Capaian yang Diharapkan</w:t>
            </w:r>
          </w:p>
        </w:tc>
      </w:tr>
      <w:tr>
        <w:tc>
          <w:tcPr>
            <w:tcW w:type="dxa" w:w="2250"/>
          </w:tcPr>
          <w:p>
            <w:r>
              <w:t xml:space="preserve">Tahun I</w:t>
            </w:r>
          </w:p>
        </w:tc>
        <w:tc>
          <w:tcPr>
            <w:tcW w:type="dxa" w:w="2250"/>
          </w:tcPr>
          <w:p>
            <w:r>
              <w:t xml:space="preserve">Mengenali sindrom geriatri umum (jatuh, inkontinensia, polifarmasi) dan melakukan asesmen dasar.</w:t>
            </w:r>
          </w:p>
        </w:tc>
        <w:tc>
          <w:tcPr>
            <w:tcW w:type="dxa" w:w="2250"/>
          </w:tcPr>
          <w:p>
            <w:r>
              <w:t xml:space="preserve">Observasi dan dibimbing langsung.</w:t>
            </w:r>
          </w:p>
        </w:tc>
        <w:tc>
          <w:tcPr>
            <w:tcW w:type="dxa" w:w="2250"/>
          </w:tcPr>
          <w:p>
            <w:r>
              <w:t xml:space="preserve">Mampu melakukan skrining sindrom geriatri dasar dengan supervisi.</w:t>
            </w:r>
          </w:p>
        </w:tc>
      </w:tr>
      <w:tr>
        <w:tc>
          <w:tcPr>
            <w:tcW w:type="dxa" w:w="2250"/>
          </w:tcPr>
          <w:p>
            <w:r>
              <w:t xml:space="preserve">Tahun II</w:t>
            </w:r>
          </w:p>
        </w:tc>
        <w:tc>
          <w:tcPr>
            <w:tcW w:type="dxa" w:w="2250"/>
          </w:tcPr>
          <w:p>
            <w:r>
              <w:t xml:space="preserve">Melakukan asesmen geriatri komprehensif dan penapisan gangguan kognitif dini.</w:t>
            </w:r>
          </w:p>
        </w:tc>
        <w:tc>
          <w:tcPr>
            <w:tcW w:type="dxa" w:w="2250"/>
          </w:tcPr>
          <w:p>
            <w:r>
              <w:t xml:space="preserve">Dibimbing tidak langsung.</w:t>
            </w:r>
          </w:p>
        </w:tc>
        <w:tc>
          <w:tcPr>
            <w:tcW w:type="dxa" w:w="2250"/>
          </w:tcPr>
          <w:p>
            <w:r>
              <w:t xml:space="preserve">Mampu menyusun rencana perawatan lansia dasar berbasis asesmen komprehensif.</w:t>
            </w:r>
          </w:p>
        </w:tc>
      </w:tr>
      <w:tr>
        <w:tc>
          <w:tcPr>
            <w:tcW w:type="dxa" w:w="2250"/>
          </w:tcPr>
          <w:p>
            <w:r>
              <w:t xml:space="preserve">Tahun III</w:t>
            </w:r>
          </w:p>
        </w:tc>
        <w:tc>
          <w:tcPr>
            <w:tcW w:type="dxa" w:w="2250"/>
          </w:tcPr>
          <w:p>
            <w:r>
              <w:t xml:space="preserve">Mengelola kasus demensia lanjut, polifarmasi kompleks, dan diskusi perawatan paliatif dengan keluarga.</w:t>
            </w:r>
          </w:p>
        </w:tc>
        <w:tc>
          <w:tcPr>
            <w:tcW w:type="dxa" w:w="2250"/>
          </w:tcPr>
          <w:p>
            <w:r>
              <w:t xml:space="preserve">Mandiri dengan supervisi berkala.</w:t>
            </w:r>
          </w:p>
        </w:tc>
        <w:tc>
          <w:tcPr>
            <w:tcW w:type="dxa" w:w="2250"/>
          </w:tcPr>
          <w:p>
            <w:r>
              <w:t xml:space="preserve">Mampu memfasilitasi diskusi perencanaan perawatan lanjut (advance care planning) dengan keluarga.</w:t>
            </w:r>
          </w:p>
        </w:tc>
      </w:tr>
      <w:tr>
        <w:tc>
          <w:tcPr>
            <w:tcW w:type="dxa" w:w="2250"/>
          </w:tcPr>
          <w:p>
            <w:r>
              <w:t xml:space="preserve">Tahun IV</w:t>
            </w:r>
          </w:p>
        </w:tc>
        <w:tc>
          <w:tcPr>
            <w:tcW w:type="dxa" w:w="2250"/>
          </w:tcPr>
          <w:p>
            <w:r>
              <w:t xml:space="preserve">Merancang program perawatan lansia berbasis keluarga dan komunitas tingkat wilayah kerja.</w:t>
            </w:r>
          </w:p>
        </w:tc>
        <w:tc>
          <w:tcPr>
            <w:tcW w:type="dxa" w:w="2250"/>
          </w:tcPr>
          <w:p>
            <w:r>
              <w:t xml:space="preserve">Mandiri penuh, peran koordinasi program.</w:t>
            </w:r>
          </w:p>
        </w:tc>
        <w:tc>
          <w:tcPr>
            <w:tcW w:type="dxa" w:w="2250"/>
          </w:tcPr>
          <w:p>
            <w:r>
              <w:t xml:space="preserve">Mampu mengevaluasi mutu layanan geriatri primer di wilayah kerja.</w:t>
            </w:r>
          </w:p>
        </w:tc>
      </w:tr>
    </w:tbl>
    <w:p>
      <w:pPr>
        <w:spacing w:after="160"/>
      </w:pPr>
    </w:p>
    <w:p>
      <w:pPr>
        <w:pStyle w:val="Heading1"/>
        <w:spacing w:after="150" w:before="300"/>
      </w:pPr>
      <w:r>
        <w:t xml:space="preserve">BAB VII-B — EVALUASI DIRI DAN PERTANYAAN REFLEKTIF</w:t>
      </w:r>
    </w:p>
    <w:p>
      <w:pPr>
        <w:spacing w:after="160" w:before="40"/>
        <w:jc w:val="both"/>
      </w:pPr>
      <w:r>
        <w:rPr>
          <w:i/>
          <w:iCs/>
          <w:color w:val="2C3A64"/>
          <w:sz w:val="24"/>
          <w:szCs w:val="24"/>
        </w:rPr>
        <w:t xml:space="preserve">Kompetensi yang sesungguhnya sering terlihat bukan dari apa yang bisa dijelaskan di ujian lisan, melainkan dari pertanyaan jujur yang diajukan pada diri sendiri setelah kunjungan pasien selesai.</w:t>
      </w:r>
    </w:p>
    <w:p>
      <w:pPr>
        <w:spacing w:after="160"/>
        <w:jc w:val="both"/>
      </w:pPr>
      <w:r>
        <w:t xml:space="preserve">Pertanyaan reflektif berikut dapat digunakan peserta didik sebagai bahan evaluasi diri berkala (mis. mengisi jurnal reflektif mingguan) maupun bahan diskusi terstruktur dengan dokter pembimbing klinis, melengkapi instrumen penilaian formal pada Dokumen P6.</w:t>
      </w:r>
    </w:p>
    <w:p>
      <w:pPr>
        <w:pStyle w:val="ListParagraph"/>
        <w:numPr>
          <w:ilvl w:val="0"/>
          <w:numId w:val="1"/>
        </w:numPr>
        <w:spacing w:after="90"/>
      </w:pPr>
      <w:r>
        <w:t xml:space="preserve">Apakah saya rutin meninjau ulang seluruh obat lansia yang saya tangani untuk mencari polifarmasi yang tidak perlu?</w:t>
      </w:r>
    </w:p>
    <w:p>
      <w:pPr>
        <w:pStyle w:val="ListParagraph"/>
        <w:numPr>
          <w:ilvl w:val="0"/>
          <w:numId w:val="1"/>
        </w:numPr>
        <w:spacing w:after="90"/>
      </w:pPr>
      <w:r>
        <w:t xml:space="preserve">Sudahkah saya menilai risiko jatuh secara aktif, bukan menunggu pasien datang setelah jatuh?</w:t>
      </w:r>
    </w:p>
    <w:p>
      <w:pPr>
        <w:pStyle w:val="ListParagraph"/>
        <w:numPr>
          <w:ilvl w:val="0"/>
          <w:numId w:val="1"/>
        </w:numPr>
        <w:spacing w:after="90"/>
      </w:pPr>
      <w:r>
        <w:t xml:space="preserve">Bagaimana saya membuka pembicaraan tentang perawatan akhir hayat dengan keluarga tanpa terasa menakut-nakuti?</w:t>
      </w:r>
    </w:p>
    <w:p>
      <w:pPr>
        <w:pStyle w:val="ListParagraph"/>
        <w:numPr>
          <w:ilvl w:val="0"/>
          <w:numId w:val="1"/>
        </w:numPr>
        <w:spacing w:after="90"/>
      </w:pPr>
      <w:r>
        <w:t xml:space="preserve">Apakah saya melibatkan pengasuh utama lansia dalam setiap rencana perawatan, bukan hanya pasiennya?</w:t>
      </w:r>
    </w:p>
    <w:p>
      <w:pPr>
        <w:pStyle w:val="Heading1"/>
        <w:spacing w:after="150" w:before="300"/>
      </w:pPr>
      <w:r>
        <w:t xml:space="preserve">BAB VIII — PENUTUP</w:t>
      </w:r>
    </w:p>
    <w:p>
      <w:pPr>
        <w:spacing w:after="160"/>
        <w:jc w:val="both"/>
      </w:pPr>
      <w:r>
        <w:t xml:space="preserve">Pendekatan geriatri di layanan primer menuntut pergeseran cara berpikir dari penyakit tunggal ke fungsi dan kualitas hidup menyeluruh, memperkuat prinsip holistik dan berpusat pada pasien yang menjadi fondasi seluruh ekosistem buku ini sejak Buku Tematik 1.</w:t>
      </w:r>
    </w:p>
    <w:p>
      <w:pPr>
        <w:pStyle w:val="Heading2"/>
        <w:spacing w:after="120" w:before="250"/>
      </w:pPr>
      <w:r>
        <w:t xml:space="preserve">Glosarium</w:t>
      </w:r>
    </w:p>
    <w:p>
      <w:pPr>
        <w:spacing w:after="90"/>
      </w:pPr>
      <w:r>
        <w:rPr>
          <w:b/>
          <w:bCs/>
        </w:rPr>
        <w:t xml:space="preserve">Comprehensive Geriatric Assessment — </w:t>
      </w:r>
      <w:r>
        <w:t xml:space="preserve">Proses evaluasi multidimensi lansia mencakup domain medis, fungsional, kognitif, psikologis, dan sosial.</w:t>
      </w:r>
    </w:p>
    <w:p>
      <w:pPr>
        <w:spacing w:after="90"/>
      </w:pPr>
      <w:r>
        <w:rPr>
          <w:b/>
          <w:bCs/>
        </w:rPr>
        <w:t xml:space="preserve">Caregiver Burden — </w:t>
      </w:r>
      <w:r>
        <w:t xml:space="preserve">Beban fisik, emosional, dan finansial yang ditanggung pengasuh utama lansia/pasien kronik.</w:t>
      </w:r>
    </w:p>
    <w:p>
      <w:pPr>
        <w:spacing w:after="90"/>
      </w:pPr>
      <w:r>
        <w:rPr>
          <w:b/>
          <w:bCs/>
        </w:rPr>
        <w:t xml:space="preserve">Frailty — </w:t>
      </w:r>
      <w:r>
        <w:t xml:space="preserve">Kondisi penurunan cadangan fisiologis multi-sistem yang meningkatkan kerentanan terhadap stresor kecil.</w:t>
      </w:r>
    </w:p>
    <w:p>
      <w:pPr>
        <w:spacing w:after="90"/>
      </w:pPr>
      <w:r>
        <w:rPr>
          <w:b/>
          <w:bCs/>
        </w:rPr>
        <w:t xml:space="preserve">Delirium — </w:t>
      </w:r>
      <w:r>
        <w:t xml:space="preserve">Gangguan kesadaran dan kognisi akut yang bersifat reversibel, harus dibedakan dari demensia kronik.</w:t>
      </w:r>
    </w:p>
    <w:p>
      <w:pPr>
        <w:spacing w:after="90"/>
      </w:pPr>
      <w:r>
        <w:rPr>
          <w:b/>
          <w:bCs/>
        </w:rPr>
        <w:t xml:space="preserve">Goals of Care — </w:t>
      </w:r>
      <w:r>
        <w:t xml:space="preserve">Diskusi tujuan perawatan bersama pasien dan keluarga, terutama pada penyakit kronik progresif atau terminal.</w:t>
      </w:r>
    </w:p>
    <w:p>
      <w:pPr>
        <w:spacing w:after="90"/>
      </w:pPr>
      <w:r>
        <w:rPr>
          <w:b/>
          <w:bCs/>
        </w:rPr>
        <w:t xml:space="preserve">Polifarmasi — </w:t>
      </w:r>
      <w:r>
        <w:t xml:space="preserve">Penggunaan banyak obat sekaligus yang meningkatkan risiko interaksi dan efek samping, lazim pada lansia dengan multimorbiditas.</w:t>
      </w:r>
    </w:p>
    <w:p>
      <w:pPr>
        <w:pStyle w:val="Heading2"/>
        <w:spacing w:after="120" w:before="250"/>
      </w:pPr>
      <w:r>
        <w:t xml:space="preserve">Daftar Pustaka</w:t>
      </w:r>
    </w:p>
    <w:p>
      <w:pPr>
        <w:spacing w:after="90"/>
        <w:ind w:left="360" w:hanging="360"/>
      </w:pPr>
      <w:r>
        <w:t xml:space="preserve">Konsil Kedokteran Indonesia. Peraturan Konsil Kedokteran Indonesia Nomor 65 Tahun 2019.</w:t>
      </w:r>
    </w:p>
    <w:p>
      <w:pPr>
        <w:spacing w:after="90"/>
        <w:ind w:left="360" w:hanging="360"/>
      </w:pPr>
      <w:r>
        <w:t xml:space="preserve">Catatan: instrumen asesmen geriatri komprehensif dan ambang diagnostik sindrom geriatri dalam buku ini bersifat umum; pembaca disarankan merujuk pedoman resmi terkini PERGEMI dan Kementerian Kesehatan RI.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2026-07-17T19:08:14.255Z</dcterms:created>
  <dcterms:modified xsi:type="dcterms:W3CDTF">2026-07-17T19:08:14.255Z</dcterms:modified>
</cp:coreProperties>
</file>

<file path=docProps/custom.xml><?xml version="1.0" encoding="utf-8"?>
<Properties xmlns="http://schemas.openxmlformats.org/officeDocument/2006/custom-properties" xmlns:vt="http://schemas.openxmlformats.org/officeDocument/2006/docPropsVTypes"/>
</file>