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5 dari Klaster Digital — Ekosistem Buku Pendidikan Dokter Spesialis Kedokteran Keluarga Layanan Primer (SpKKLP)</w:t>
      </w:r>
    </w:p>
    <w:p>
      <w:pPr>
        <w:spacing w:after="200"/>
      </w:pPr>
    </w:p>
    <w:p>
      <w:pPr>
        <w:jc w:val="center"/>
      </w:pPr>
      <w:r>
        <w:rPr>
          <w:b/>
          <w:bCs/>
          <w:sz w:val="36"/>
          <w:szCs w:val="36"/>
        </w:rPr>
        <w:t xml:space="preserve">Kesehatan Jiwa, Napza, dan Psikososial di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INTEGRASI KESEHATAN JIWA KE DALAM LAYANAN PRIMER</w:t>
      </w:r>
    </w:p>
    <w:p>
      <w:pPr>
        <w:spacing w:after="160" w:before="40"/>
        <w:jc w:val="both"/>
      </w:pPr>
      <w:r>
        <w:rPr>
          <w:i/>
          <w:iCs/>
          <w:color w:val="2C3A64"/>
          <w:sz w:val="24"/>
          <w:szCs w:val="24"/>
        </w:rPr>
        <w:t xml:space="preserve">Berapa banyak pasien yang datang dengan "nyeri kepala kronik" atau "maag yang tak kunjung sembuh" sebenarnya sedang mencoba mengatakan sesuatu yang lebih dalam tanpa kata-kata yang tepat? Bab ini melatih telinga untuk mendengar hal itu.</w:t>
      </w:r>
    </w:p>
    <w:p>
      <w:pPr>
        <w:spacing w:after="160"/>
        <w:jc w:val="both"/>
      </w:pPr>
      <w:r>
        <w:t xml:space="preserve">Sebagian besar masalah kesehatan jiwa di masyarakat pertama kali bersinggungan dengan layanan primer, sering tersamar di balik keluhan fisik (somatisasi). Dokter spesialis kedokteran keluarga layanan primer berperan sentral dalam deteksi dini, tata laksana awal gangguan jiwa umum, serta rujukan tepat waktu pada kondisi berat.</w:t>
      </w:r>
    </w:p>
    <w:p>
      <w:pPr>
        <w:pBdr>
          <w:left w:val="single" w:color="A9812F" w:sz="24"/>
        </w:pBdr>
        <w:shd w:fill="FBEFD9" w:val="clear"/>
        <w:spacing w:after="200" w:before="100"/>
        <w:ind w:left="200"/>
      </w:pPr>
      <w:r>
        <w:rPr>
          <w:b/>
          <w:bCs/>
          <w:color w:val="8A6410"/>
        </w:rPr>
        <w:t xml:space="preserve">⚠ TINJAU TENAGA KESEHATAN — </w:t>
      </w:r>
      <w:r>
        <w:rPr>
          <w:i/>
          <w:iCs/>
        </w:rPr>
        <w:t xml:space="preserve">ambang diagnostik dan algoritma tata laksana farmakologis pada bab-bab berikut wajib ditinjau ulang terhadap pedoman nasional terbaru — PDSKJI dan Kementerian Kesehatan RI — sebelum dipakai sebagai acuan definitif.</w:t>
      </w:r>
    </w:p>
    <w:p>
      <w:pPr>
        <w:pStyle w:val="Heading1"/>
        <w:spacing w:after="150" w:before="300"/>
      </w:pPr>
      <w:r>
        <w:t xml:space="preserve">BAB II — GANGGUAN CEMAS DAN DEPRESI DI LAYANAN PRIMER</w:t>
      </w:r>
    </w:p>
    <w:p>
      <w:pPr>
        <w:spacing w:after="160" w:before="40"/>
        <w:jc w:val="both"/>
      </w:pPr>
      <w:r>
        <w:rPr>
          <w:i/>
          <w:iCs/>
          <w:color w:val="2C3A64"/>
          <w:sz w:val="24"/>
          <w:szCs w:val="24"/>
        </w:rPr>
        <w:t xml:space="preserve">Bertanya langsung tentang pikiran untuk mengakhiri hidup terasa menakutkan bagi banyak dokter baru — padahal justru pertanyaan itulah yang paling sering menyelamatkan.</w:t>
      </w:r>
    </w:p>
    <w:p>
      <w:pPr>
        <w:pStyle w:val="Heading2"/>
        <w:spacing w:after="120" w:before="250"/>
      </w:pPr>
      <w:r>
        <w:t xml:space="preserve">A. Mengenali Presentasi Somatik</w:t>
      </w:r>
    </w:p>
    <w:p>
      <w:pPr>
        <w:spacing w:after="160"/>
        <w:jc w:val="both"/>
      </w:pPr>
      <w:r>
        <w:t xml:space="preserve">Gangguan cemas dan depresi merupakan gangguan jiwa umum (common mental disorders) tersering yang ditemukan di layanan primer, sering dengan presentasi somatik (nyeri kepala kronik, keluhan gastrointestinal fungsional, kelelahan tak jelas sebab) yang menuntut kewaspadaan klinis tinggi agar tidak terlewat.</w:t>
      </w:r>
    </w:p>
    <w:p>
      <w:pPr>
        <w:pStyle w:val="ListParagraph"/>
        <w:numPr>
          <w:ilvl w:val="0"/>
          <w:numId w:val="1"/>
        </w:numPr>
        <w:spacing w:after="90"/>
      </w:pPr>
      <w:r>
        <w:t xml:space="preserve">Kewaspadaan terhadap presentasi somatik berulang tanpa penjelasan organik yang memadai.</w:t>
      </w:r>
    </w:p>
    <w:p>
      <w:pPr>
        <w:pStyle w:val="ListParagraph"/>
        <w:numPr>
          <w:ilvl w:val="0"/>
          <w:numId w:val="1"/>
        </w:numPr>
        <w:spacing w:after="90"/>
      </w:pPr>
      <w:r>
        <w:t xml:space="preserve">Penggunaan instrumen skrining terstruktur sederhana sebagai alat bantu penapisan, bukan alat diagnostik tunggal.</w:t>
      </w:r>
    </w:p>
    <w:p>
      <w:pPr>
        <w:pStyle w:val="Heading2"/>
        <w:spacing w:after="120" w:before="250"/>
      </w:pPr>
      <w:r>
        <w:t xml:space="preserve">B. Menanyakan Risiko Bunuh Diri secara Langsung</w:t>
      </w:r>
    </w:p>
    <w:p>
      <w:pPr>
        <w:spacing w:after="160"/>
        <w:jc w:val="both"/>
      </w:pPr>
      <w:r>
        <w:t xml:space="preserve">Penilaian risiko bunuh diri secara langsung dan tanpa ragu pada kecurigaan depresi menjadi keterampilan wajib — bertanya langsung tentang ide bunuh diri terbukti tidak meningkatkan risiko dan justru membuka jalur pertolongan.</w:t>
      </w:r>
    </w:p>
    <w:p>
      <w:pPr>
        <w:pStyle w:val="Heading2"/>
        <w:spacing w:after="120" w:before="250"/>
      </w:pPr>
      <w:r>
        <w:t xml:space="preserve">C. Lini Pertama dan Pelibatan Keluarga</w:t>
      </w:r>
    </w:p>
    <w:p>
      <w:pPr>
        <w:spacing w:after="160"/>
        <w:jc w:val="both"/>
      </w:pPr>
      <w:r>
        <w:t xml:space="preserve">Psikoedukasi dan dukungan psikososial menjadi lini pertama pada kasus ringan-sedang, dengan farmakoterapi dan/atau rujukan pada kasus sedang-berat sesuai pedoman berlaku. Pelibatan keluarga menjadi sumber dukungan sekaligus penggalian kemungkinan stresor psikososial dalam keluarga (genogram dan family APGAR, Buku Tematik 1).</w:t>
      </w:r>
    </w:p>
    <w:p>
      <w:pPr>
        <w:pBdr>
          <w:left w:val="single" w:color="2C3A64" w:sz="24"/>
        </w:pBdr>
        <w:shd w:fill="EEF1F8" w:val="clear"/>
        <w:spacing w:after="200" w:before="100"/>
        <w:ind w:left="200"/>
      </w:pPr>
      <w:r>
        <w:rPr>
          <w:b/>
          <w:bCs/>
          <w:color w:val="2C3A64"/>
        </w:rPr>
        <w:t xml:space="preserve">🩺 Ilustrasi Kasus — </w:t>
      </w:r>
      <w:r>
        <w:t xml:space="preserve">Seorang ibu rumah tangga 38 tahun datang berulang kali dalam enam bulan dengan keluhan nyeri kepala yang selalu diobati simtomatik tanpa perbaikan berarti. Pada kunjungan ketujuh, dokter akhirnya menanyakan langsung suasana hatinya — dan pasien mulai menangis, mengungkap perasaan putus asa yang telah dipendam selama berbulan-bulan. Skrining lebih lanjut mengonfirmasi episode depresi sedang yang selama ini tersembunyi di balik keluhan nyeri kepala.</w:t>
      </w:r>
    </w:p>
    <w:p>
      <w:pPr>
        <w:pStyle w:val="Heading1"/>
        <w:spacing w:after="150" w:before="300"/>
      </w:pPr>
      <w:r>
        <w:t xml:space="preserve">BAB III — KEGAWATDARURATAN PSIKIATRI: RISIKO BUNUH DIRI DAN AGITASI AKUT</w:t>
      </w:r>
    </w:p>
    <w:p>
      <w:pPr>
        <w:spacing w:after="160" w:before="40"/>
        <w:jc w:val="both"/>
      </w:pPr>
      <w:r>
        <w:rPr>
          <w:i/>
          <w:iCs/>
          <w:color w:val="2C3A64"/>
          <w:sz w:val="24"/>
          <w:szCs w:val="24"/>
        </w:rPr>
        <w:t xml:space="preserve">Di kegawatdaruratan psikiatri, keterlambatan beberapa menit bisa berarti perbedaan antara pertolongan tepat waktu dan tragedi yang tak terulang.</w:t>
      </w:r>
    </w:p>
    <w:p>
      <w:pPr>
        <w:spacing w:after="160"/>
        <w:jc w:val="both"/>
      </w:pPr>
      <w:r>
        <w:t xml:space="preserve">Dokter layanan primer perlu menguasai penilaian awal dan tata laksana segera pada kegawatdaruratan psikiatri sebelum rujukan, karena keterlambatan penanganan dapat berakibat fatal.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Situasi</w:t>
            </w:r>
          </w:p>
        </w:tc>
        <w:tc>
          <w:tcPr>
            <w:tcW w:type="dxa" w:w="4500"/>
            <w:shd w:fill="2C3A64" w:val="clear"/>
          </w:tcPr>
          <w:p>
            <w:r>
              <w:rPr>
                <w:b/>
                <w:bCs/>
                <w:color w:val="FFFFFF"/>
              </w:rPr>
              <w:t xml:space="preserve">Prinsip Tindakan Awal</w:t>
            </w:r>
          </w:p>
        </w:tc>
      </w:tr>
      <w:tr>
        <w:tc>
          <w:tcPr>
            <w:tcW w:type="dxa" w:w="4500"/>
          </w:tcPr>
          <w:p>
            <w:r>
              <w:t xml:space="preserve">Ide bunuh diri dengan rencana konkret</w:t>
            </w:r>
          </w:p>
        </w:tc>
        <w:tc>
          <w:tcPr>
            <w:tcW w:type="dxa" w:w="4500"/>
          </w:tcPr>
          <w:p>
            <w:r>
              <w:t xml:space="preserve">Jangan tinggalkan pasien sendirian; amankan lingkungan dari sarana mencederai diri; rujuk segera</w:t>
            </w:r>
          </w:p>
        </w:tc>
      </w:tr>
      <w:tr>
        <w:tc>
          <w:tcPr>
            <w:tcW w:type="dxa" w:w="4500"/>
          </w:tcPr>
          <w:p>
            <w:r>
              <w:t xml:space="preserve">Agitasi/perilaku kekerasan akut</w:t>
            </w:r>
          </w:p>
        </w:tc>
        <w:tc>
          <w:tcPr>
            <w:tcW w:type="dxa" w:w="4500"/>
          </w:tcPr>
          <w:p>
            <w:r>
              <w:t xml:space="preserve">Utamakan keselamatan diri, pasien, dan lingkungan sebelum evaluasi lebih lanjut</w:t>
            </w:r>
          </w:p>
        </w:tc>
      </w:tr>
      <w:tr>
        <w:tc>
          <w:tcPr>
            <w:tcW w:type="dxa" w:w="4500"/>
          </w:tcPr>
          <w:p>
            <w:r>
              <w:t xml:space="preserve">Krisis psikososial akut pasca-kejadian traumatis</w:t>
            </w:r>
          </w:p>
        </w:tc>
        <w:tc>
          <w:tcPr>
            <w:tcW w:type="dxa" w:w="4500"/>
          </w:tcPr>
          <w:p>
            <w:r>
              <w:t xml:space="preserve">Dukungan psikologis awal (psychological first aid), hindari memaksa penceritaan detail traumatis</w:t>
            </w:r>
          </w:p>
        </w:tc>
      </w:tr>
    </w:tbl>
    <w:p>
      <w:pPr>
        <w:spacing w:after="160"/>
      </w:pPr>
    </w:p>
    <w:p>
      <w:pPr>
        <w:pBdr>
          <w:left w:val="single" w:color="A9812F" w:sz="24"/>
        </w:pBdr>
        <w:shd w:fill="FBEFD9" w:val="clear"/>
        <w:spacing w:after="200" w:before="100"/>
        <w:ind w:left="200"/>
      </w:pPr>
      <w:r>
        <w:rPr>
          <w:b/>
          <w:bCs/>
          <w:color w:val="8A6410"/>
        </w:rPr>
        <w:t xml:space="preserve">⚠ TINJAU TENAGA KESEHATAN — </w:t>
      </w:r>
      <w:r>
        <w:rPr>
          <w:i/>
          <w:iCs/>
        </w:rPr>
        <w:t xml:space="preserve">algoritma spesifik kegawatdaruratan psikiatri di atas bersifat prinsip umum; kriteria rujukan definitif dan protokol institusi wajib mengikuti Buku Tematik 7 serta pedoman resmi berlaku.</w:t>
      </w:r>
    </w:p>
    <w:p>
      <w:pPr>
        <w:pStyle w:val="Heading1"/>
        <w:spacing w:after="150" w:before="300"/>
      </w:pPr>
      <w:r>
        <w:t xml:space="preserve">BAB IV — PENYALAHGUNAAN NAPZA DI LAYANAN PRIMER</w:t>
      </w:r>
    </w:p>
    <w:p>
      <w:pPr>
        <w:spacing w:after="160" w:before="40"/>
        <w:jc w:val="both"/>
      </w:pPr>
      <w:r>
        <w:rPr>
          <w:i/>
          <w:iCs/>
          <w:color w:val="2C3A64"/>
          <w:sz w:val="24"/>
          <w:szCs w:val="24"/>
        </w:rPr>
        <w:t xml:space="preserve">Pasien dengan masalah penggunaan zat jarang datang mengaku terus terang di kunjungan pertama — kepercayaan itu harus dibangun, bukan diminta.</w:t>
      </w:r>
    </w:p>
    <w:p>
      <w:pPr>
        <w:spacing w:after="160"/>
        <w:jc w:val="both"/>
      </w:pPr>
      <w:r>
        <w:t xml:space="preserve">Dokter layanan primer sering menjadi kontak kesehatan pertama bagi individu dengan masalah penggunaan napza, meski keluhan yang dibawa mungkin tidak berkaitan langsung. Pendekatan tanpa menghakimi (non-judgmental) dan wawancara motivasional menjadi kunci membangun kepercayaan untuk intervensi lebih lanjut.</w:t>
      </w:r>
    </w:p>
    <w:p>
      <w:pPr>
        <w:pStyle w:val="ListParagraph"/>
        <w:numPr>
          <w:ilvl w:val="0"/>
          <w:numId w:val="1"/>
        </w:numPr>
        <w:spacing w:after="90"/>
      </w:pPr>
      <w:r>
        <w:t xml:space="preserve">Penapisan penggunaan zat sebagai bagian rutin anamnesis, terutama pada presentasi yang mencurigakan.</w:t>
      </w:r>
    </w:p>
    <w:p>
      <w:pPr>
        <w:pStyle w:val="ListParagraph"/>
        <w:numPr>
          <w:ilvl w:val="0"/>
          <w:numId w:val="1"/>
        </w:numPr>
        <w:spacing w:after="90"/>
      </w:pPr>
      <w:r>
        <w:t xml:space="preserve">Intervensi singkat (brief intervention) sebagai langkah awal pada penggunaan berisiko yang belum mencapai ketergantungan.</w:t>
      </w:r>
    </w:p>
    <w:p>
      <w:pPr>
        <w:pStyle w:val="ListParagraph"/>
        <w:numPr>
          <w:ilvl w:val="0"/>
          <w:numId w:val="1"/>
        </w:numPr>
        <w:spacing w:after="90"/>
      </w:pPr>
      <w:r>
        <w:t xml:space="preserve">Rujukan ke layanan rehabilitasi/adiksi terstruktur pada kasus ketergantungan, dengan dukungan berkelanjutan dari layanan primer.</w:t>
      </w:r>
    </w:p>
    <w:p>
      <w:pPr>
        <w:pStyle w:val="ListParagraph"/>
        <w:numPr>
          <w:ilvl w:val="0"/>
          <w:numId w:val="1"/>
        </w:numPr>
        <w:spacing w:after="90"/>
      </w:pPr>
      <w:r>
        <w:t xml:space="preserve">Pelibatan keluarga dalam pemulihan, dengan kesadaran bahwa penyalahgunaan napza sering merupakan gejala dari disfungsi keluarga yang lebih luas.</w:t>
      </w:r>
    </w:p>
    <w:p>
      <w:pPr>
        <w:pStyle w:val="Heading1"/>
        <w:spacing w:after="150" w:before="300"/>
      </w:pPr>
      <w:r>
        <w:t xml:space="preserve">BAB V — KRISIS PSIKOSOSIAL DAN KEKERASAN DALAM RUMAH TANGGA</w:t>
      </w:r>
    </w:p>
    <w:p>
      <w:pPr>
        <w:spacing w:after="160" w:before="40"/>
        <w:jc w:val="both"/>
      </w:pPr>
      <w:r>
        <w:rPr>
          <w:i/>
          <w:iCs/>
          <w:color w:val="2C3A64"/>
          <w:sz w:val="24"/>
          <w:szCs w:val="24"/>
        </w:rPr>
        <w:t xml:space="preserve">Cedera yang penjelasannya "tidak masuk akal" sering kali adalah satu-satunya petunjuk yang diberikan seseorang yang tidak berani bicara langsung.</w:t>
      </w:r>
    </w:p>
    <w:p>
      <w:pPr>
        <w:spacing w:after="160"/>
        <w:jc w:val="both"/>
      </w:pPr>
      <w:r>
        <w:t xml:space="preserve">Layanan primer berperan sebagai titik deteksi dini kekerasan dalam rumah tangga dan kekerasan terhadap anak, yang sering tersamar di balik keluhan fisik berulang atau presentasi psikosomatik. Dokter layanan primer memerlukan kepekaan klinis, keterampilan wawancara yang aman, dan pemahaman jalur rujukan perlindungan yang tersedia.</w:t>
      </w:r>
    </w:p>
    <w:p>
      <w:pPr>
        <w:pStyle w:val="ListParagraph"/>
        <w:numPr>
          <w:ilvl w:val="0"/>
          <w:numId w:val="1"/>
        </w:numPr>
        <w:spacing w:after="90"/>
      </w:pPr>
      <w:r>
        <w:t xml:space="preserve">Kewaspadaan terhadap pola cedera yang tidak sesuai dengan penjelasan yang diberikan, atau keterlambatan mencari pertolongan yang tidak wajar.</w:t>
      </w:r>
    </w:p>
    <w:p>
      <w:pPr>
        <w:pStyle w:val="ListParagraph"/>
        <w:numPr>
          <w:ilvl w:val="0"/>
          <w:numId w:val="1"/>
        </w:numPr>
        <w:spacing w:after="90"/>
      </w:pPr>
      <w:r>
        <w:t xml:space="preserve">Wawancara terpisah dari pendamping bila dicurigai kekerasan, dilakukan dengan aman dan tanpa menghakimi.</w:t>
      </w:r>
    </w:p>
    <w:p>
      <w:pPr>
        <w:pStyle w:val="ListParagraph"/>
        <w:numPr>
          <w:ilvl w:val="0"/>
          <w:numId w:val="1"/>
        </w:numPr>
        <w:spacing w:after="90"/>
      </w:pPr>
      <w:r>
        <w:t xml:space="preserve">Dokumentasi yang cermat dan objektif sebagai bagian dari rekam medis, mengingat potensi kebutuhan hukum di kemudian hari.</w:t>
      </w:r>
    </w:p>
    <w:p>
      <w:pPr>
        <w:pStyle w:val="Heading1"/>
        <w:spacing w:after="150" w:before="300"/>
      </w:pPr>
      <w:r>
        <w:t xml:space="preserve">BAB VI — DUKACITA DAN KESEHATAN JIWA PADA TRANSISI KEHIDUPAN</w:t>
      </w:r>
    </w:p>
    <w:p>
      <w:pPr>
        <w:spacing w:after="160" w:before="40"/>
        <w:jc w:val="both"/>
      </w:pPr>
      <w:r>
        <w:rPr>
          <w:i/>
          <w:iCs/>
          <w:color w:val="2C3A64"/>
          <w:sz w:val="24"/>
          <w:szCs w:val="24"/>
        </w:rPr>
        <w:t xml:space="preserve">Tidak semua kesedihan adalah penyakit — namun mengenali kapan kesedihan yang wajar berubah menjadi sesuatu yang memerlukan bantuan lebih adalah keterampilan tersendiri.</w:t>
      </w:r>
    </w:p>
    <w:p>
      <w:pPr>
        <w:spacing w:after="160"/>
        <w:jc w:val="both"/>
      </w:pPr>
      <w:r>
        <w:t xml:space="preserve">Dukacita (grief) akibat kehilangan — baik kematian anggota keluarga, perceraian, maupun kehilangan fungsi akibat penyakit kronik — merupakan pengalaman manusiawi yang memerlukan pembedaan dari gangguan depresi patologis. Dokter layanan primer perlu memahami perjalanan dukacita yang wajar sekaligus mengenali tanda dukacita rumit (complicated grief) yang memerlukan dukungan lebih terstruktur.</w:t>
      </w:r>
    </w:p>
    <w:p>
      <w:pPr>
        <w:pStyle w:val="Heading1"/>
        <w:spacing w:after="150" w:before="300"/>
      </w:pPr>
      <w:r>
        <w:t xml:space="preserve">BAB VII — KOLABORASI DAN RUJUKAN KESEHATAN JIWA BERJENJANG</w:t>
      </w:r>
    </w:p>
    <w:p>
      <w:pPr>
        <w:spacing w:after="160" w:before="40"/>
        <w:jc w:val="both"/>
      </w:pPr>
      <w:r>
        <w:rPr>
          <w:i/>
          <w:iCs/>
          <w:color w:val="2C3A64"/>
          <w:sz w:val="24"/>
          <w:szCs w:val="24"/>
        </w:rPr>
        <w:t xml:space="preserve">Dokter layanan primer tidak perlu menjadi psikiater untuk menangani sebagian besar masalah kesehatan jiwa — tetapi harus tahu persis kapan berhenti dan menyerahkan tongkat estafet.</w:t>
      </w:r>
    </w:p>
    <w:p>
      <w:pPr>
        <w:spacing w:after="160"/>
        <w:jc w:val="both"/>
      </w:pPr>
      <w:r>
        <w:t xml:space="preserve">Model kolaborasi (collaborative care) antara layanan primer dan layanan kesehatan jiwa spesialistik memungkinkan penanganan yang efisien dan berkesinambungan, di mana dokter layanan primer menangani kasus ringan-sedang secara mandiri, berkonsultasi pada kasus yang lebih kompleks, dan merujuk pada kondisi yang memerlukan tata laksana spesialistik.</w:t>
      </w:r>
    </w:p>
    <w:p>
      <w:pPr>
        <w:pStyle w:val="Heading1"/>
        <w:spacing w:after="150" w:before="300"/>
      </w:pPr>
      <w:r>
        <w:t xml:space="preserve">BAB VII-A — PENJENJANGAN CAPAIAN PEMBELAJARAN TAHUN I–IV: KESEHATAN JIWA, NAPZA, DAN PSIKOSOSIAL</w:t>
      </w:r>
    </w:p>
    <w:p>
      <w:pPr>
        <w:spacing w:after="160" w:before="40"/>
        <w:jc w:val="both"/>
      </w:pPr>
      <w:r>
        <w:rPr>
          <w:i/>
          <w:iCs/>
          <w:color w:val="2C3A64"/>
          <w:sz w:val="24"/>
          <w:szCs w:val="24"/>
        </w:rPr>
        <w:t xml:space="preserve">Mengenali kecemasan pada satu pasien di ruang praktik adalah satu keterampilan; berani bertanya soal risiko bunuh diri secara langsung adalah keterampilan lain yang berkembang lebih lambat — penjenjangan berikut memetakan keduanya.</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Mengenali presentasi klinis cemas, depresi, dan tanda peringatan krisis psikososial.</w:t>
            </w:r>
          </w:p>
        </w:tc>
        <w:tc>
          <w:tcPr>
            <w:tcW w:type="dxa" w:w="2250"/>
          </w:tcPr>
          <w:p>
            <w:r>
              <w:t xml:space="preserve">Observasi dan dibimbing langsung.</w:t>
            </w:r>
          </w:p>
        </w:tc>
        <w:tc>
          <w:tcPr>
            <w:tcW w:type="dxa" w:w="2250"/>
          </w:tcPr>
          <w:p>
            <w:r>
              <w:t xml:space="preserve">Mampu melakukan penapisan dasar gangguan cemas-depresi dengan supervisi.</w:t>
            </w:r>
          </w:p>
        </w:tc>
      </w:tr>
      <w:tr>
        <w:tc>
          <w:tcPr>
            <w:tcW w:type="dxa" w:w="2250"/>
          </w:tcPr>
          <w:p>
            <w:r>
              <w:t xml:space="preserve">Tahun II</w:t>
            </w:r>
          </w:p>
        </w:tc>
        <w:tc>
          <w:tcPr>
            <w:tcW w:type="dxa" w:w="2250"/>
          </w:tcPr>
          <w:p>
            <w:r>
              <w:t xml:space="preserve">Melakukan konseling awal dan menilai risiko bunuh diri secara terstruktur.</w:t>
            </w:r>
          </w:p>
        </w:tc>
        <w:tc>
          <w:tcPr>
            <w:tcW w:type="dxa" w:w="2250"/>
          </w:tcPr>
          <w:p>
            <w:r>
              <w:t xml:space="preserve">Dibimbing tidak langsung.</w:t>
            </w:r>
          </w:p>
        </w:tc>
        <w:tc>
          <w:tcPr>
            <w:tcW w:type="dxa" w:w="2250"/>
          </w:tcPr>
          <w:p>
            <w:r>
              <w:t xml:space="preserve">Mampu menilai risiko bunuh diri dan menentukan kebutuhan rujukan segera.</w:t>
            </w:r>
          </w:p>
        </w:tc>
      </w:tr>
      <w:tr>
        <w:tc>
          <w:tcPr>
            <w:tcW w:type="dxa" w:w="2250"/>
          </w:tcPr>
          <w:p>
            <w:r>
              <w:t xml:space="preserve">Tahun III</w:t>
            </w:r>
          </w:p>
        </w:tc>
        <w:tc>
          <w:tcPr>
            <w:tcW w:type="dxa" w:w="2250"/>
          </w:tcPr>
          <w:p>
            <w:r>
              <w:t xml:space="preserve">Mengelola kasus penyalahgunaan napza dan krisis psikososial kompleks (KDRT, dukacita rumit).</w:t>
            </w:r>
          </w:p>
        </w:tc>
        <w:tc>
          <w:tcPr>
            <w:tcW w:type="dxa" w:w="2250"/>
          </w:tcPr>
          <w:p>
            <w:r>
              <w:t xml:space="preserve">Mandiri dengan supervisi berkala.</w:t>
            </w:r>
          </w:p>
        </w:tc>
        <w:tc>
          <w:tcPr>
            <w:tcW w:type="dxa" w:w="2250"/>
          </w:tcPr>
          <w:p>
            <w:r>
              <w:t xml:space="preserve">Mampu memimpin intervensi krisis awal dan koordinasi rujukan kesehatan jiwa berjenjang.</w:t>
            </w:r>
          </w:p>
        </w:tc>
      </w:tr>
      <w:tr>
        <w:tc>
          <w:tcPr>
            <w:tcW w:type="dxa" w:w="2250"/>
          </w:tcPr>
          <w:p>
            <w:r>
              <w:t xml:space="preserve">Tahun IV</w:t>
            </w:r>
          </w:p>
        </w:tc>
        <w:tc>
          <w:tcPr>
            <w:tcW w:type="dxa" w:w="2250"/>
          </w:tcPr>
          <w:p>
            <w:r>
              <w:t xml:space="preserve">Mengintegrasikan layanan kesehatan jiwa ke dalam sistem layanan primer wilayah kerja.</w:t>
            </w:r>
          </w:p>
        </w:tc>
        <w:tc>
          <w:tcPr>
            <w:tcW w:type="dxa" w:w="2250"/>
          </w:tcPr>
          <w:p>
            <w:r>
              <w:t xml:space="preserve">Mandiri penuh, peran koordinasi program.</w:t>
            </w:r>
          </w:p>
        </w:tc>
        <w:tc>
          <w:tcPr>
            <w:tcW w:type="dxa" w:w="2250"/>
          </w:tcPr>
          <w:p>
            <w:r>
              <w:t xml:space="preserve">Mampu mengevaluasi mutu integrasi layanan kesehatan jiwa primer.</w:t>
            </w:r>
          </w:p>
        </w:tc>
      </w:tr>
    </w:tbl>
    <w:p>
      <w:pPr>
        <w:spacing w:after="160"/>
      </w:pPr>
    </w:p>
    <w:p>
      <w:pPr>
        <w:pStyle w:val="Heading1"/>
        <w:spacing w:after="150" w:before="300"/>
      </w:pPr>
      <w:r>
        <w:t xml:space="preserve">BAB VII-B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saya sudah cukup nyaman bertanya langsung soal pikiran bunuh diri, atau masih menghindarinya?</w:t>
      </w:r>
    </w:p>
    <w:p>
      <w:pPr>
        <w:pStyle w:val="ListParagraph"/>
        <w:numPr>
          <w:ilvl w:val="0"/>
          <w:numId w:val="1"/>
        </w:numPr>
        <w:spacing w:after="90"/>
      </w:pPr>
      <w:r>
        <w:t xml:space="preserve">Sudahkah saya memiliki alur jelas ke mana merujuk pasien dengan krisis psikiatri akut di jam kerja dan di luar jam kerja?</w:t>
      </w:r>
    </w:p>
    <w:p>
      <w:pPr>
        <w:pStyle w:val="ListParagraph"/>
        <w:numPr>
          <w:ilvl w:val="0"/>
          <w:numId w:val="1"/>
        </w:numPr>
        <w:spacing w:after="90"/>
      </w:pPr>
      <w:r>
        <w:t xml:space="preserve">Bagaimana saya membedakan dukacita normal dari dukacita rumit yang memerlukan intervensi lebih lanjut?</w:t>
      </w:r>
    </w:p>
    <w:p>
      <w:pPr>
        <w:pStyle w:val="ListParagraph"/>
        <w:numPr>
          <w:ilvl w:val="0"/>
          <w:numId w:val="1"/>
        </w:numPr>
        <w:spacing w:after="90"/>
      </w:pPr>
      <w:r>
        <w:t xml:space="preserve">Apakah saya menilai kemungkinan KDRT pada pasien dengan keluhan psikosomatik berulang?</w:t>
      </w:r>
    </w:p>
    <w:p>
      <w:pPr>
        <w:pStyle w:val="Heading1"/>
        <w:spacing w:after="150" w:before="300"/>
      </w:pPr>
      <w:r>
        <w:t xml:space="preserve">BAB VIII — PENUTUP</w:t>
      </w:r>
    </w:p>
    <w:p>
      <w:pPr>
        <w:spacing w:after="160"/>
        <w:jc w:val="both"/>
      </w:pPr>
      <w:r>
        <w:t xml:space="preserve">Kesehatan jiwa bukan domain terpisah dari kesehatan fisik, melainkan dimensi yang terjalin erat dalam setiap kontak klinis layanan primer. Kepekaan yang dibangun pada buku ini melengkapi keterampilan family-centered dari Buku Tematik 1 dan menjadi dasar bagi pendekatan holistik pada seluruh buku tematik lainnya.</w:t>
      </w:r>
    </w:p>
    <w:p>
      <w:pPr>
        <w:pStyle w:val="Heading2"/>
        <w:spacing w:after="120" w:before="250"/>
      </w:pPr>
      <w:r>
        <w:t xml:space="preserve">Glosarium</w:t>
      </w:r>
    </w:p>
    <w:p>
      <w:pPr>
        <w:spacing w:after="90"/>
      </w:pPr>
      <w:r>
        <w:rPr>
          <w:b/>
          <w:bCs/>
        </w:rPr>
        <w:t xml:space="preserve">Common Mental Disorders — </w:t>
      </w:r>
      <w:r>
        <w:t xml:space="preserve">Istilah untuk gangguan cemas dan depresi sebagai gangguan jiwa yang paling umum ditemukan di layanan primer.</w:t>
      </w:r>
    </w:p>
    <w:p>
      <w:pPr>
        <w:spacing w:after="90"/>
      </w:pPr>
      <w:r>
        <w:rPr>
          <w:b/>
          <w:bCs/>
        </w:rPr>
        <w:t xml:space="preserve">Psychological First Aid — </w:t>
      </w:r>
      <w:r>
        <w:t xml:space="preserve">Dukungan psikologis awal pasca-kejadian traumatis, berfokus pada keselamatan dan stabilisasi, bukan psikoterapi formal.</w:t>
      </w:r>
    </w:p>
    <w:p>
      <w:pPr>
        <w:spacing w:after="90"/>
      </w:pPr>
      <w:r>
        <w:rPr>
          <w:b/>
          <w:bCs/>
        </w:rPr>
        <w:t xml:space="preserve">Brief Intervention — </w:t>
      </w:r>
      <w:r>
        <w:t xml:space="preserve">Intervensi singkat terstruktur pada penggunaan zat berisiko sebelum mencapai tahap ketergantungan.</w:t>
      </w:r>
    </w:p>
    <w:p>
      <w:pPr>
        <w:spacing w:after="90"/>
      </w:pPr>
      <w:r>
        <w:rPr>
          <w:b/>
          <w:bCs/>
        </w:rPr>
        <w:t xml:space="preserve">Complicated Grief — </w:t>
      </w:r>
      <w:r>
        <w:t xml:space="preserve">Dukacita yang berkepanjangan dan mengganggu fungsi secara signifikan, berbeda dari proses berduka yang wajar.</w:t>
      </w:r>
    </w:p>
    <w:p>
      <w:pPr>
        <w:spacing w:after="90"/>
      </w:pPr>
      <w:r>
        <w:rPr>
          <w:b/>
          <w:bCs/>
        </w:rPr>
        <w:t xml:space="preserve">Collaborative Care — </w:t>
      </w:r>
      <w:r>
        <w:t xml:space="preserve">Model kolaborasi layanan primer dan layanan kesehatan jiwa spesialistik dalam pengelolaan pasien berkesinambungan.</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World Health Organization. mhGAP Intervention Guide — dicantumkan sebagai kerangka konseptual umum; edisi spesifik belum diverifikasi pada edisi ini.</w:t>
      </w:r>
    </w:p>
    <w:p>
      <w:pPr>
        <w:spacing w:after="90"/>
        <w:ind w:left="360" w:hanging="360"/>
      </w:pPr>
      <w:r>
        <w:t xml:space="preserve">Catatan: instrumen skrining dan algoritma tata laksana gangguan jiwa dalam buku ini bersifat umum; pembaca disarankan merujuk pedoman resmi terkini PDSKJI dan Kementerian Kesehatan 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2026-07-17T19:08:13.995Z</dcterms:created>
  <dcterms:modified xsi:type="dcterms:W3CDTF">2026-07-17T19:08:13.995Z</dcterms:modified>
</cp:coreProperties>
</file>

<file path=docProps/custom.xml><?xml version="1.0" encoding="utf-8"?>
<Properties xmlns="http://schemas.openxmlformats.org/officeDocument/2006/custom-properties" xmlns:vt="http://schemas.openxmlformats.org/officeDocument/2006/docPropsVTypes"/>
</file>