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jc w:val="center"/>
      </w:pPr>
      <w:r>
        <w:t xml:space="preserve">PERPUSTAKAAN DIGITAL ABBA</w:t>
      </w:r>
    </w:p>
    <w:p>
      <w:pPr>
        <w:jc w:val="center"/>
      </w:pPr>
      <w:r>
        <w:t xml:space="preserve">Jl. Kerinci Raya No. 9, Malang 65138</w:t>
      </w:r>
    </w:p>
    <w:p>
      <w:pPr>
        <w:spacing w:after="200"/>
      </w:pPr>
    </w:p>
    <w:p>
      <w:pPr>
        <w:jc w:val="center"/>
      </w:pPr>
      <w:r>
        <w:rPr>
          <w:sz w:val="20"/>
          <w:szCs w:val="20"/>
        </w:rPr>
        <w:t xml:space="preserve">Buku Tematik 4 dari Klaster Digital — Ekosistem Buku Pendidikan Dokter Spesialis Kedokteran Keluarga Layanan Primer (SpKKLP)</w:t>
      </w:r>
    </w:p>
    <w:p>
      <w:pPr>
        <w:spacing w:after="200"/>
      </w:pPr>
    </w:p>
    <w:p>
      <w:pPr>
        <w:jc w:val="center"/>
      </w:pPr>
      <w:r>
        <w:rPr>
          <w:b/>
          <w:bCs/>
          <w:sz w:val="36"/>
          <w:szCs w:val="36"/>
        </w:rPr>
        <w:t xml:space="preserve">Kesehatan Ibu, Anak, dan Remaja di Layanan Primer</w:t>
      </w:r>
    </w:p>
    <w:p>
      <w:pPr>
        <w:spacing w:after="400"/>
      </w:pPr>
    </w:p>
    <w:p>
      <w:pPr>
        <w:jc w:val="center"/>
      </w:pPr>
      <w:r>
        <w:t xml:space="preserve">Disusun oleh</w:t>
      </w:r>
    </w:p>
    <w:p>
      <w:pPr>
        <w:jc w:val="center"/>
      </w:pPr>
      <w:r>
        <w:rPr>
          <w:b/>
          <w:bCs/>
        </w:rPr>
        <w:t xml:space="preserve">Dr.dr. H. Budi Siswanto, Sp.OG, Subsp.Obginsos., SH., S.Kom.</w:t>
      </w:r>
    </w:p>
    <w:p>
      <w:pPr>
        <w:jc w:val="center"/>
      </w:pPr>
      <w:r>
        <w:t xml:space="preserve">2026</w:t>
      </w:r>
    </w:p>
    <w:p>
      <w:pPr>
        <w:pageBreakBefore/>
      </w:pPr>
    </w:p>
    <w:p>
      <w:pPr>
        <w:pStyle w:val="Heading1"/>
        <w:spacing w:after="150" w:before="300"/>
      </w:pPr>
      <w:r>
        <w:t xml:space="preserve">BAB I — PENDAHULUAN: KONTINUM KESEHATAN IBU, ANAK, DAN REMAJA</w:t>
      </w:r>
    </w:p>
    <w:p>
      <w:pPr>
        <w:spacing w:after="160" w:before="40"/>
        <w:jc w:val="both"/>
      </w:pPr>
      <w:r>
        <w:rPr>
          <w:i/>
          <w:iCs/>
          <w:color w:val="2C3A64"/>
          <w:sz w:val="24"/>
          <w:szCs w:val="24"/>
        </w:rPr>
        <w:t xml:space="preserve">Tidak ada bidang lain dalam kedokteran keluarga yang menunjukkan lebih jelas bahwa satu dokter bisa menemani satu manusia sejak sebelum ia lahir hingga ia sendiri menjadi orang tua. Bab ini membuka rangkaian perjalanan itu.</w:t>
      </w:r>
    </w:p>
    <w:p>
      <w:pPr>
        <w:spacing w:after="160"/>
        <w:jc w:val="both"/>
      </w:pPr>
      <w:r>
        <w:t xml:space="preserve">Kesehatan ibu, anak, dan remaja merupakan salah satu indikator utama kinerja sistem kesehatan primer, tercermin dalam Angka Kematian Ibu (AKI) dan Angka Kematian Bayi/Balita yang masih menjadi prioritas nasional. Dokter spesialis kedokteran keluarga layanan primer berperan sebagai penyedia layanan kontinum sejak pra-konsepsi, kehamilan, persalinan, masa nifas, tumbuh kembang anak, hingga kesehatan reproduksi remaja — seluruhnya dipandang dalam konteks keluarga sesuai perangkat Buku Tematik 1.</w:t>
      </w:r>
    </w:p>
    <w:p>
      <w:pPr>
        <w:pBdr>
          <w:left w:val="single" w:color="A9812F" w:sz="24"/>
        </w:pBdr>
        <w:shd w:fill="FBEFD9" w:val="clear"/>
        <w:spacing w:after="200" w:before="100"/>
        <w:ind w:left="200"/>
      </w:pPr>
      <w:r>
        <w:rPr>
          <w:b/>
          <w:bCs/>
          <w:color w:val="8A6410"/>
        </w:rPr>
        <w:t xml:space="preserve">⚠ TINJAU TENAGA KESEHATAN — </w:t>
      </w:r>
      <w:r>
        <w:rPr>
          <w:i/>
          <w:iCs/>
        </w:rPr>
        <w:t xml:space="preserve">ambang diagnostik, jadwal pemeriksaan, dan algoritma rujukan pada bab-bab berikut wajib ditinjau ulang terhadap pedoman nasional terbaru — Kementerian Kesehatan RI, POGI, IDAI — sebelum dipakai sebagai acuan definitif. Data epidemiologi AKI/AKB spesifik tidak dicantumkan pada edisi ini karena angka terkini perlu ditelusuri dari sumber resmi terkini.</w:t>
      </w:r>
    </w:p>
    <w:p>
      <w:pPr>
        <w:pStyle w:val="Heading1"/>
        <w:spacing w:after="150" w:before="300"/>
      </w:pPr>
      <w:r>
        <w:t xml:space="preserve">BAB II — PELAYANAN ANTENATAL TERPADU DI LAYANAN PRIMER</w:t>
      </w:r>
    </w:p>
    <w:p>
      <w:pPr>
        <w:spacing w:after="160" w:before="40"/>
        <w:jc w:val="both"/>
      </w:pPr>
      <w:r>
        <w:rPr>
          <w:i/>
          <w:iCs/>
          <w:color w:val="2C3A64"/>
          <w:sz w:val="24"/>
          <w:szCs w:val="24"/>
        </w:rPr>
        <w:t xml:space="preserve">Kunjungan antenatal pertama sering menjadi satu-satunya kesempatan untuk menangkap risiko sebelum masalah muncul saat persalinan — jendela waktu yang tidak boleh dilewatkan begitu saja.</w:t>
      </w:r>
    </w:p>
    <w:p>
      <w:pPr>
        <w:pStyle w:val="Heading2"/>
        <w:spacing w:after="120" w:before="250"/>
      </w:pPr>
      <w:r>
        <w:t xml:space="preserve">A. Penapisan Faktor Risiko</w:t>
      </w:r>
    </w:p>
    <w:p>
      <w:pPr>
        <w:spacing w:after="160"/>
        <w:jc w:val="both"/>
      </w:pPr>
      <w:r>
        <w:t xml:space="preserve">Pelayanan antenatal di layanan primer bertujuan mendeteksi dini faktor risiko kehamilan, memberikan edukasi kehamilan sehat, serta memastikan rujukan tepat waktu pada kehamilan berisiko tinggi. Dokter spesialis kedokteran keluarga layanan primer bekerja secara kolaboratif dengan bidan dan jejaring rujukan obstetri.</w:t>
      </w:r>
    </w:p>
    <w:p>
      <w:pPr>
        <w:pStyle w:val="ListParagraph"/>
        <w:numPr>
          <w:ilvl w:val="0"/>
          <w:numId w:val="1"/>
        </w:numPr>
        <w:spacing w:after="90"/>
      </w:pPr>
      <w:r>
        <w:t xml:space="preserve">Penapisan faktor risiko kehamilan sejak kontak pertama: usia, paritas, riwayat obstetri sebelumnya, komorbiditas (hipertensi, diabetes, anemia).</w:t>
      </w:r>
    </w:p>
    <w:p>
      <w:pPr>
        <w:pStyle w:val="ListParagraph"/>
        <w:numPr>
          <w:ilvl w:val="0"/>
          <w:numId w:val="1"/>
        </w:numPr>
        <w:spacing w:after="90"/>
      </w:pPr>
      <w:r>
        <w:t xml:space="preserve">Pemantauan pertumbuhan janin dan kesejahteraan ibu pada setiap kunjungan sesuai jadwal standar.</w:t>
      </w:r>
    </w:p>
    <w:p>
      <w:pPr>
        <w:pStyle w:val="ListParagraph"/>
        <w:numPr>
          <w:ilvl w:val="0"/>
          <w:numId w:val="1"/>
        </w:numPr>
        <w:spacing w:after="90"/>
      </w:pPr>
      <w:r>
        <w:t xml:space="preserve">Edukasi tanda bahaya kehamilan yang memerlukan kunjungan segera (safety netting, Buku Tematik 1).</w:t>
      </w:r>
    </w:p>
    <w:p>
      <w:pPr>
        <w:pStyle w:val="Heading2"/>
        <w:spacing w:after="120" w:before="250"/>
      </w:pPr>
      <w:r>
        <w:t xml:space="preserve">B. Koordinasi Rujukan dan Pelibatan Keluarga</w:t>
      </w:r>
    </w:p>
    <w:p>
      <w:pPr>
        <w:spacing w:after="160"/>
        <w:jc w:val="both"/>
      </w:pPr>
      <w:r>
        <w:t xml:space="preserve">Koordinasi rujukan berjenjang yang jelas dan tepat waktu pada kehamilan risiko tinggi mengikuti kriteria pada Buku Tematik 7 (Kegawatdaruratan dan Sistem Rujukan Berjenjang). Pelibatan pasangan/keluarga dalam persiapan persalinan dan pengenalan tanda bahaya, memanfaatkan genogram keluarga, meningkatkan kesiapan menghadapi kegawatdaruratan bila terjadi.</w:t>
      </w:r>
    </w:p>
    <w:p>
      <w:pPr>
        <w:pBdr>
          <w:left w:val="single" w:color="2C3A64" w:sz="24"/>
        </w:pBdr>
        <w:shd w:fill="EEF1F8" w:val="clear"/>
        <w:spacing w:after="200" w:before="100"/>
        <w:ind w:left="200"/>
      </w:pPr>
      <w:r>
        <w:rPr>
          <w:b/>
          <w:bCs/>
          <w:color w:val="2C3A64"/>
        </w:rPr>
        <w:t xml:space="preserve">🩺 Ilustrasi Kasus — </w:t>
      </w:r>
      <w:r>
        <w:t xml:space="preserve">Seorang ibu hamil 32 tahun pada kehamilan ketiga tampak tenang dan tidak menunjukkan kekhawatiran berarti. Namun genogram mengungkap bahwa kehamilan keduanya berakhir dengan perdarahan pascasalin yang hampir mengancam nyawa. Informasi ini mengubah rencana persalinan menjadi rujukan terencana ke fasilitas dengan kapasitas penanganan perdarahan, alih-alih persalinan di fasilitas primer seperti rencana awal.</w:t>
      </w:r>
    </w:p>
    <w:p>
      <w:pPr>
        <w:pStyle w:val="Heading1"/>
        <w:spacing w:after="150" w:before="300"/>
      </w:pPr>
      <w:r>
        <w:t xml:space="preserve">BAB III — MASA NIFAS DAN KESEHATAN PASCASALIN</w:t>
      </w:r>
    </w:p>
    <w:p>
      <w:pPr>
        <w:spacing w:after="160" w:before="40"/>
        <w:jc w:val="both"/>
      </w:pPr>
      <w:r>
        <w:rPr>
          <w:i/>
          <w:iCs/>
          <w:color w:val="2C3A64"/>
          <w:sz w:val="24"/>
          <w:szCs w:val="24"/>
        </w:rPr>
        <w:t xml:space="preserve">Perhatian sering berhenti begitu bayi lahir dengan selamat — padahal bagi ibu, tantangan kesehatan yang sesungguhnya baru saja dimulai.</w:t>
      </w:r>
    </w:p>
    <w:p>
      <w:pPr>
        <w:spacing w:after="160"/>
        <w:jc w:val="both"/>
      </w:pPr>
      <w:r>
        <w:t xml:space="preserve">Masa nifas memerlukan pemantauan berkelanjutan terhadap pemulihan fisik ibu, deteksi dini komplikasi pascasalin (perdarahan, infeksi, gangguan kesehatan jiwa perinatal), serta dukungan pemberian ASI eksklusif. Skrining kesehatan jiwa perinatal — termasuk kewaspadaan terhadap depresi pascasalin — menjadi bagian integral kunjungan nifas, berkoordinasi dengan Buku Tematik 5.</w:t>
      </w:r>
    </w:p>
    <w:p>
      <w:pPr>
        <w:pStyle w:val="Heading1"/>
        <w:spacing w:after="150" w:before="300"/>
      </w:pPr>
      <w:r>
        <w:t xml:space="preserve">BAB IV — TUMBUH KEMBANG ANAK DAN DETEKSI DINI PENYIMPANGAN</w:t>
      </w:r>
    </w:p>
    <w:p>
      <w:pPr>
        <w:spacing w:after="160" w:before="40"/>
        <w:jc w:val="both"/>
      </w:pPr>
      <w:r>
        <w:rPr>
          <w:i/>
          <w:iCs/>
          <w:color w:val="2C3A64"/>
          <w:sz w:val="24"/>
          <w:szCs w:val="24"/>
        </w:rPr>
        <w:t xml:space="preserve">Setiap kali balita ditimbang dan diukur, dokter sedang mengintip masa depan anak itu jauh sebelum ia sendiri sadar ada yang perlu dikhawatirkan.</w:t>
      </w:r>
    </w:p>
    <w:p>
      <w:pPr>
        <w:pStyle w:val="Heading2"/>
        <w:spacing w:after="120" w:before="250"/>
      </w:pPr>
      <w:r>
        <w:t xml:space="preserve">A. Empat Domain Pemantauan</w:t>
      </w:r>
    </w:p>
    <w:p>
      <w:pPr>
        <w:spacing w:after="160"/>
        <w:jc w:val="both"/>
      </w:pPr>
      <w:r>
        <w:t xml:space="preserve">Pemantauan tumbuh kembang anak di layanan primer mencakup penilaian pertumbuhan (berat badan, tinggi badan, lingkar kepala terhadap kurva pertumbuhan standar) dan perkembangan (motorik, bahasa, sosial-emosional) secara berkala, dengan deteksi dini penyimpangan sebagai kunci intervensi tepat waktu.</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4500"/>
        <w:gridCol w:w="4500"/>
      </w:tblGrid>
      <w:tr>
        <w:tc>
          <w:tcPr>
            <w:tcW w:type="dxa" w:w="4500"/>
            <w:shd w:fill="2C3A64" w:val="clear"/>
          </w:tcPr>
          <w:p>
            <w:r>
              <w:rPr>
                <w:b/>
                <w:bCs/>
                <w:color w:val="FFFFFF"/>
              </w:rPr>
              <w:t xml:space="preserve">Domain Pemantauan</w:t>
            </w:r>
          </w:p>
        </w:tc>
        <w:tc>
          <w:tcPr>
            <w:tcW w:type="dxa" w:w="4500"/>
            <w:shd w:fill="2C3A64" w:val="clear"/>
          </w:tcPr>
          <w:p>
            <w:r>
              <w:rPr>
                <w:b/>
                <w:bCs/>
                <w:color w:val="FFFFFF"/>
              </w:rPr>
              <w:t xml:space="preserve">Fokus Deteksi Dini</w:t>
            </w:r>
          </w:p>
        </w:tc>
      </w:tr>
      <w:tr>
        <w:tc>
          <w:tcPr>
            <w:tcW w:type="dxa" w:w="4500"/>
          </w:tcPr>
          <w:p>
            <w:r>
              <w:t xml:space="preserve">Pertumbuhan fisik</w:t>
            </w:r>
          </w:p>
        </w:tc>
        <w:tc>
          <w:tcPr>
            <w:tcW w:type="dxa" w:w="4500"/>
          </w:tcPr>
          <w:p>
            <w:r>
              <w:t xml:space="preserve">Penyimpangan kurva berat/tinggi badan, kecurigaan stunting atau gizi buruk</w:t>
            </w:r>
          </w:p>
        </w:tc>
      </w:tr>
      <w:tr>
        <w:tc>
          <w:tcPr>
            <w:tcW w:type="dxa" w:w="4500"/>
          </w:tcPr>
          <w:p>
            <w:r>
              <w:t xml:space="preserve">Perkembangan motorik</w:t>
            </w:r>
          </w:p>
        </w:tc>
        <w:tc>
          <w:tcPr>
            <w:tcW w:type="dxa" w:w="4500"/>
          </w:tcPr>
          <w:p>
            <w:r>
              <w:t xml:space="preserve">Keterlambatan pencapaian tonggak perkembangan motorik kasar/halus sesuai usia</w:t>
            </w:r>
          </w:p>
        </w:tc>
      </w:tr>
      <w:tr>
        <w:tc>
          <w:tcPr>
            <w:tcW w:type="dxa" w:w="4500"/>
          </w:tcPr>
          <w:p>
            <w:r>
              <w:t xml:space="preserve">Perkembangan bahasa</w:t>
            </w:r>
          </w:p>
        </w:tc>
        <w:tc>
          <w:tcPr>
            <w:tcW w:type="dxa" w:w="4500"/>
          </w:tcPr>
          <w:p>
            <w:r>
              <w:t xml:space="preserve">Keterlambatan bicara dan pemahaman bahasa sesuai usia</w:t>
            </w:r>
          </w:p>
        </w:tc>
      </w:tr>
      <w:tr>
        <w:tc>
          <w:tcPr>
            <w:tcW w:type="dxa" w:w="4500"/>
          </w:tcPr>
          <w:p>
            <w:r>
              <w:t xml:space="preserve">Perkembangan sosial-emosional</w:t>
            </w:r>
          </w:p>
        </w:tc>
        <w:tc>
          <w:tcPr>
            <w:tcW w:type="dxa" w:w="4500"/>
          </w:tcPr>
          <w:p>
            <w:r>
              <w:t xml:space="preserve">Tanda kemungkinan gangguan spektrum autisme atau masalah keterikatan (attachment)</w:t>
            </w:r>
          </w:p>
        </w:tc>
      </w:tr>
    </w:tbl>
    <w:p>
      <w:pPr>
        <w:spacing w:after="160"/>
      </w:pPr>
    </w:p>
    <w:p>
      <w:pPr>
        <w:pBdr>
          <w:left w:val="single" w:color="A9812F" w:sz="24"/>
        </w:pBdr>
        <w:shd w:fill="FBEFD9" w:val="clear"/>
        <w:spacing w:after="200" w:before="100"/>
        <w:ind w:left="200"/>
      </w:pPr>
      <w:r>
        <w:rPr>
          <w:b/>
          <w:bCs/>
          <w:color w:val="8A6410"/>
        </w:rPr>
        <w:t xml:space="preserve">⚠ TINJAU TENAGA KESEHATAN — </w:t>
      </w:r>
      <w:r>
        <w:rPr>
          <w:i/>
          <w:iCs/>
        </w:rPr>
        <w:t xml:space="preserve">stunting disebutkan di sini sebagai isu deteksi dini yang relevan pada pemantauan tumbuh kembang; data prevalensi stunting nasional/daerah tidak dicantumkan pada edisi ini dan wajib diambil dari sumber resmi terkini oleh pembaca.</w:t>
      </w:r>
    </w:p>
    <w:p>
      <w:pPr>
        <w:pStyle w:val="Heading2"/>
        <w:spacing w:after="120" w:before="250"/>
      </w:pPr>
      <w:r>
        <w:t xml:space="preserve">B. Stunting sebagai Masalah Lintas Sektor</w:t>
      </w:r>
    </w:p>
    <w:p>
      <w:pPr>
        <w:spacing w:after="160"/>
        <w:jc w:val="both"/>
      </w:pPr>
      <w:r>
        <w:t xml:space="preserve">Stunting sebagai masalah gizi kronik memerlukan pendekatan lintas-sektor yang melibatkan bukan hanya tata laksana klinis individual, tetapi juga edukasi keluarga tentang pola asuh dan gizi, serta koordinasi dengan program kesehatan masyarakat setempat (Buku Tematik 8).</w:t>
      </w:r>
    </w:p>
    <w:p>
      <w:pPr>
        <w:pStyle w:val="Heading1"/>
        <w:spacing w:after="150" w:before="300"/>
      </w:pPr>
      <w:r>
        <w:t xml:space="preserve">BAB V — IMUNISASI DI LAYANAN PRIMER</w:t>
      </w:r>
    </w:p>
    <w:p>
      <w:pPr>
        <w:spacing w:after="160" w:before="40"/>
        <w:jc w:val="both"/>
      </w:pPr>
      <w:r>
        <w:rPr>
          <w:i/>
          <w:iCs/>
          <w:color w:val="2C3A64"/>
          <w:sz w:val="24"/>
          <w:szCs w:val="24"/>
        </w:rPr>
        <w:t xml:space="preserve">Imunisasi adalah salah satu dari sedikit intervensi kesehatan yang efektivitasnya sudah tidak diperdebatkan — tantangannya bukan lagi soal "apakah bekerja", melainkan "bagaimana meyakinkan yang ragu".</w:t>
      </w:r>
    </w:p>
    <w:p>
      <w:pPr>
        <w:spacing w:after="160"/>
        <w:jc w:val="both"/>
      </w:pPr>
      <w:r>
        <w:t xml:space="preserve">Imunisasi merupakan salah satu intervensi kesehatan masyarakat paling efektif biaya dan menjadi tanggung jawab inti dokter layanan primer, mencakup pemberian sesuai jadwal program imunisasi nasional, edukasi keluarga (termasuk penanganan keraguan vaksin/vaccine hesitancy secara empatik), pemantauan kejadian ikutan pasca-imunisasi, dan pelaporan cakupan sebagai bagian dari surveilans.</w:t>
      </w:r>
    </w:p>
    <w:p>
      <w:pPr>
        <w:pStyle w:val="Heading1"/>
        <w:spacing w:after="150" w:before="300"/>
      </w:pPr>
      <w:r>
        <w:t xml:space="preserve">BAB VI — KESEHATAN REPRODUKSI DAN PSIKOSOSIAL REMAJA</w:t>
      </w:r>
    </w:p>
    <w:p>
      <w:pPr>
        <w:spacing w:after="160" w:before="40"/>
        <w:jc w:val="both"/>
      </w:pPr>
      <w:r>
        <w:rPr>
          <w:i/>
          <w:iCs/>
          <w:color w:val="2C3A64"/>
          <w:sz w:val="24"/>
          <w:szCs w:val="24"/>
        </w:rPr>
        <w:t xml:space="preserve">Remaja jarang datang sendiri ke layanan kesehatan atas kemauannya — dan begitu mereka datang, kepercayaan yang dibangun dalam sepuluh menit pertama sering menentukan apakah mereka akan kembali lagi atau tidak pernah lagi.</w:t>
      </w:r>
    </w:p>
    <w:p>
      <w:pPr>
        <w:pStyle w:val="Heading2"/>
        <w:spacing w:after="120" w:before="250"/>
      </w:pPr>
      <w:r>
        <w:t xml:space="preserve">A. Kerahasiaan versus Keterlibatan Keluarga</w:t>
      </w:r>
    </w:p>
    <w:p>
      <w:pPr>
        <w:spacing w:after="160"/>
        <w:jc w:val="both"/>
      </w:pPr>
      <w:r>
        <w:t xml:space="preserve">Layanan bagi remaja memerlukan pendekatan khusus yang menyeimbangkan kerahasiaan (confidentiality) dengan keterlibatan keluarga yang wajar, mengingat remaja berada pada tahap perkembangan otonomi menurut family life cycle (Buku Tematik 1).</w:t>
      </w:r>
    </w:p>
    <w:p>
      <w:pPr>
        <w:pStyle w:val="ListParagraph"/>
        <w:numPr>
          <w:ilvl w:val="0"/>
          <w:numId w:val="1"/>
        </w:numPr>
        <w:spacing w:after="90"/>
      </w:pPr>
      <w:r>
        <w:t xml:space="preserve">Membangun kepercayaan remaja melalui jaminan kerahasiaan yang wajar, dengan batasan yang dijelaskan secara transparan.</w:t>
      </w:r>
    </w:p>
    <w:p>
      <w:pPr>
        <w:pStyle w:val="ListParagraph"/>
        <w:numPr>
          <w:ilvl w:val="0"/>
          <w:numId w:val="1"/>
        </w:numPr>
        <w:spacing w:after="90"/>
      </w:pPr>
      <w:r>
        <w:t xml:space="preserve">Skrining faktor risiko psikososial (HEADSSS — Home, Education/Employment, Activities, Drugs, Sexuality, Suicide/depression, Safety) sebagai kerangka wawancara terstruktur.</w:t>
      </w:r>
    </w:p>
    <w:p>
      <w:pPr>
        <w:pStyle w:val="Heading2"/>
        <w:spacing w:after="120" w:before="250"/>
      </w:pPr>
      <w:r>
        <w:t xml:space="preserve">B. Kolaborasi dengan Layanan Kesehatan Jiwa</w:t>
      </w:r>
    </w:p>
    <w:p>
      <w:pPr>
        <w:spacing w:after="160"/>
        <w:jc w:val="both"/>
      </w:pPr>
      <w:r>
        <w:t xml:space="preserve">Edukasi kesehatan reproduksi yang sesuai usia dan konteks budaya keluarga perlu diimbangi dengan koordinasi dengan layanan kesehatan jiwa (Buku Tematik 5) pada kecurigaan gangguan jiwa atau risiko bunuh diri.</w:t>
      </w:r>
    </w:p>
    <w:p>
      <w:pPr>
        <w:pBdr>
          <w:left w:val="single" w:color="2C3A64" w:sz="24"/>
        </w:pBdr>
        <w:shd w:fill="EEF1F8" w:val="clear"/>
        <w:spacing w:after="200" w:before="100"/>
        <w:ind w:left="200"/>
      </w:pPr>
      <w:r>
        <w:rPr>
          <w:b/>
          <w:bCs/>
          <w:color w:val="2C3A64"/>
        </w:rPr>
        <w:t xml:space="preserve">🩺 Ilustrasi Kasus — </w:t>
      </w:r>
      <w:r>
        <w:t xml:space="preserve">Seorang remaja perempuan 15 tahun datang dengan keluhan nyeri perut yang tidak jelas penyebabnya secara fisik. Wawancara HEADSSS yang dilakukan tanpa kehadiran orang tua mengungkap tekanan akademik berat dan perundungan di sekolah yang belum pernah ia ceritakan pada siapa pun. Nyeri perutnya adalah manifestasi somatik dari stres yang selama ini terpendam — penemuan yang hanya mungkin terjadi karena dokter memberi ruang aman untuk bicara sendirian.</w:t>
      </w:r>
    </w:p>
    <w:p>
      <w:pPr>
        <w:pStyle w:val="Heading1"/>
        <w:spacing w:after="150" w:before="300"/>
      </w:pPr>
      <w:r>
        <w:t xml:space="preserve">BAB VII — PERAN KELUARGA DALAM KESEHATAN IBU, ANAK, DAN REMAJA</w:t>
      </w:r>
    </w:p>
    <w:p>
      <w:pPr>
        <w:spacing w:after="160" w:before="40"/>
        <w:jc w:val="both"/>
      </w:pPr>
      <w:r>
        <w:rPr>
          <w:i/>
          <w:iCs/>
          <w:color w:val="2C3A64"/>
          <w:sz w:val="24"/>
          <w:szCs w:val="24"/>
        </w:rPr>
        <w:t xml:space="preserve">Seluruh bab sebelumnya sesungguhnya bercerita tentang satu keluarga yang sama, dilihat dari titik waktu yang berbeda.</w:t>
      </w:r>
    </w:p>
    <w:p>
      <w:pPr>
        <w:spacing w:after="160"/>
        <w:jc w:val="both"/>
      </w:pPr>
      <w:r>
        <w:t xml:space="preserve">Seluruh layanan pada buku ini idealnya tidak dipandang sebagai layanan individual terisolasi, melainkan bagian dari perawatan keluarga berkesinambungan. Genogram dan family life cycle (Buku Tematik 1) membantu dokter mengantisipasi kebutuhan kesehatan pada tiap tahap siklus keluarga.</w:t>
      </w:r>
    </w:p>
    <w:p>
      <w:pPr>
        <w:pStyle w:val="Heading1"/>
        <w:spacing w:after="150" w:before="300"/>
      </w:pPr>
      <w:r>
        <w:t xml:space="preserve">BAB VII-A — PENJENJANGAN CAPAIAN PEMBELAJARAN TAHUN I–IV: KESEHATAN IBU, ANAK, DAN REMAJA</w:t>
      </w:r>
    </w:p>
    <w:p>
      <w:pPr>
        <w:spacing w:after="160" w:before="40"/>
        <w:jc w:val="both"/>
      </w:pPr>
      <w:r>
        <w:rPr>
          <w:i/>
          <w:iCs/>
          <w:color w:val="2C3A64"/>
          <w:sz w:val="24"/>
          <w:szCs w:val="24"/>
        </w:rPr>
        <w:t xml:space="preserve">Merawat satu ibu hamil berbeda dengan merawat satu keluarga yang menantikan kelahiran — penjenjangan berikut mengikuti perluasan tanggung jawab itu dari individu ke kontinum keluarga.</w:t>
      </w:r>
    </w:p>
    <w:p>
      <w:pPr>
        <w:spacing w:after="160"/>
        <w:jc w:val="both"/>
      </w:pPr>
      <w:r>
        <w:t xml:space="preserve">Penjenjangan berikut merupakan usulan kerangka penahapan berbasis pola umum pendidikan spesialis empat tahun dan notasi penjenjangan capaian pembelajaran Perkonsil 65/2019 (mis. tingkat kemampuan 1–4A), diselaraskan dengan topik buku ini. Kedalaman dan urutan aktual tetap mengikuti kurikulum operasional program studi serta hasil evaluasi individual peserta didik — tabel ini bukan pengganti matriks kewenangan klinis resmi (lihat Dokumen P4).</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250"/>
        <w:gridCol w:w="2250"/>
        <w:gridCol w:w="2250"/>
        <w:gridCol w:w="2250"/>
      </w:tblGrid>
      <w:tr>
        <w:tc>
          <w:tcPr>
            <w:tcW w:type="dxa" w:w="2250"/>
            <w:shd w:fill="2C3A64" w:val="clear"/>
          </w:tcPr>
          <w:p>
            <w:r>
              <w:rPr>
                <w:b/>
                <w:bCs/>
                <w:color w:val="FFFFFF"/>
              </w:rPr>
              <w:t xml:space="preserve">Tahun Pendidikan</w:t>
            </w:r>
          </w:p>
        </w:tc>
        <w:tc>
          <w:tcPr>
            <w:tcW w:type="dxa" w:w="2250"/>
            <w:shd w:fill="2C3A64" w:val="clear"/>
          </w:tcPr>
          <w:p>
            <w:r>
              <w:rPr>
                <w:b/>
                <w:bCs/>
                <w:color w:val="FFFFFF"/>
              </w:rPr>
              <w:t xml:space="preserve">Fokus Belajar Utama</w:t>
            </w:r>
          </w:p>
        </w:tc>
        <w:tc>
          <w:tcPr>
            <w:tcW w:type="dxa" w:w="2250"/>
            <w:shd w:fill="2C3A64" w:val="clear"/>
          </w:tcPr>
          <w:p>
            <w:r>
              <w:rPr>
                <w:b/>
                <w:bCs/>
                <w:color w:val="FFFFFF"/>
              </w:rPr>
              <w:t xml:space="preserve">Tingkat Kemandirian Klinis</w:t>
            </w:r>
          </w:p>
        </w:tc>
        <w:tc>
          <w:tcPr>
            <w:tcW w:type="dxa" w:w="2250"/>
            <w:shd w:fill="2C3A64" w:val="clear"/>
          </w:tcPr>
          <w:p>
            <w:r>
              <w:rPr>
                <w:b/>
                <w:bCs/>
                <w:color w:val="FFFFFF"/>
              </w:rPr>
              <w:t xml:space="preserve">Capaian yang Diharapkan</w:t>
            </w:r>
          </w:p>
        </w:tc>
      </w:tr>
      <w:tr>
        <w:tc>
          <w:tcPr>
            <w:tcW w:type="dxa" w:w="2250"/>
          </w:tcPr>
          <w:p>
            <w:r>
              <w:t xml:space="preserve">Tahun I</w:t>
            </w:r>
          </w:p>
        </w:tc>
        <w:tc>
          <w:tcPr>
            <w:tcW w:type="dxa" w:w="2250"/>
          </w:tcPr>
          <w:p>
            <w:r>
              <w:t xml:space="preserve">Melakukan pemeriksaan antenatal rutin dan pemantauan tumbuh kembang dasar di bawah observasi.</w:t>
            </w:r>
          </w:p>
        </w:tc>
        <w:tc>
          <w:tcPr>
            <w:tcW w:type="dxa" w:w="2250"/>
          </w:tcPr>
          <w:p>
            <w:r>
              <w:t xml:space="preserve">Observasi dan dibimbing langsung.</w:t>
            </w:r>
          </w:p>
        </w:tc>
        <w:tc>
          <w:tcPr>
            <w:tcW w:type="dxa" w:w="2250"/>
          </w:tcPr>
          <w:p>
            <w:r>
              <w:t xml:space="preserve">Mampu melakukan pemeriksaan antenatal dan deteksi tumbuh kembang dasar dengan supervisi.</w:t>
            </w:r>
          </w:p>
        </w:tc>
      </w:tr>
      <w:tr>
        <w:tc>
          <w:tcPr>
            <w:tcW w:type="dxa" w:w="2250"/>
          </w:tcPr>
          <w:p>
            <w:r>
              <w:t xml:space="preserve">Tahun II</w:t>
            </w:r>
          </w:p>
        </w:tc>
        <w:tc>
          <w:tcPr>
            <w:tcW w:type="dxa" w:w="2250"/>
          </w:tcPr>
          <w:p>
            <w:r>
              <w:t xml:space="preserve">Mengelola kehamilan risiko rendah, imunisasi rutin, dan konseling kesehatan reproduksi remaja awal.</w:t>
            </w:r>
          </w:p>
        </w:tc>
        <w:tc>
          <w:tcPr>
            <w:tcW w:type="dxa" w:w="2250"/>
          </w:tcPr>
          <w:p>
            <w:r>
              <w:t xml:space="preserve">Dibimbing tidak langsung.</w:t>
            </w:r>
          </w:p>
        </w:tc>
        <w:tc>
          <w:tcPr>
            <w:tcW w:type="dxa" w:w="2250"/>
          </w:tcPr>
          <w:p>
            <w:r>
              <w:t xml:space="preserve">Mampu mengenali tanda bahaya kehamilan dan menentukan waktu rujukan dasar.</w:t>
            </w:r>
          </w:p>
        </w:tc>
      </w:tr>
      <w:tr>
        <w:tc>
          <w:tcPr>
            <w:tcW w:type="dxa" w:w="2250"/>
          </w:tcPr>
          <w:p>
            <w:r>
              <w:t xml:space="preserve">Tahun III</w:t>
            </w:r>
          </w:p>
        </w:tc>
        <w:tc>
          <w:tcPr>
            <w:tcW w:type="dxa" w:w="2250"/>
          </w:tcPr>
          <w:p>
            <w:r>
              <w:t xml:space="preserve">Mengelola kasus dengan faktor risiko psikososial (kehamilan remaja, KDRT, kehamilan tidak diinginkan).</w:t>
            </w:r>
          </w:p>
        </w:tc>
        <w:tc>
          <w:tcPr>
            <w:tcW w:type="dxa" w:w="2250"/>
          </w:tcPr>
          <w:p>
            <w:r>
              <w:t xml:space="preserve">Mandiri dengan supervisi berkala.</w:t>
            </w:r>
          </w:p>
        </w:tc>
        <w:tc>
          <w:tcPr>
            <w:tcW w:type="dxa" w:w="2250"/>
          </w:tcPr>
          <w:p>
            <w:r>
              <w:t xml:space="preserve">Mampu memfasilitasi diskusi keluarga sensitif dan merujuk secara tepat waktu.</w:t>
            </w:r>
          </w:p>
        </w:tc>
      </w:tr>
      <w:tr>
        <w:tc>
          <w:tcPr>
            <w:tcW w:type="dxa" w:w="2250"/>
          </w:tcPr>
          <w:p>
            <w:r>
              <w:t xml:space="preserve">Tahun IV</w:t>
            </w:r>
          </w:p>
        </w:tc>
        <w:tc>
          <w:tcPr>
            <w:tcW w:type="dxa" w:w="2250"/>
          </w:tcPr>
          <w:p>
            <w:r>
              <w:t xml:space="preserve">Merancang program KIA-remaja terintegrasi tingkat wilayah kerja bersama lintas program.</w:t>
            </w:r>
          </w:p>
        </w:tc>
        <w:tc>
          <w:tcPr>
            <w:tcW w:type="dxa" w:w="2250"/>
          </w:tcPr>
          <w:p>
            <w:r>
              <w:t xml:space="preserve">Mandiri penuh, peran koordinasi program.</w:t>
            </w:r>
          </w:p>
        </w:tc>
        <w:tc>
          <w:tcPr>
            <w:tcW w:type="dxa" w:w="2250"/>
          </w:tcPr>
          <w:p>
            <w:r>
              <w:t xml:space="preserve">Mampu mengevaluasi capaian program KIA di wilayah kerja.</w:t>
            </w:r>
          </w:p>
        </w:tc>
      </w:tr>
    </w:tbl>
    <w:p>
      <w:pPr>
        <w:spacing w:after="160"/>
      </w:pPr>
    </w:p>
    <w:p>
      <w:pPr>
        <w:pStyle w:val="Heading1"/>
        <w:spacing w:after="150" w:before="300"/>
      </w:pPr>
      <w:r>
        <w:t xml:space="preserve">BAB VII-B — EVALUASI DIRI DAN PERTANYAAN REFLEKTIF</w:t>
      </w:r>
    </w:p>
    <w:p>
      <w:pPr>
        <w:spacing w:after="160" w:before="40"/>
        <w:jc w:val="both"/>
      </w:pPr>
      <w:r>
        <w:rPr>
          <w:i/>
          <w:iCs/>
          <w:color w:val="2C3A64"/>
          <w:sz w:val="24"/>
          <w:szCs w:val="24"/>
        </w:rPr>
        <w:t xml:space="preserve">Kompetensi yang sesungguhnya sering terlihat bukan dari apa yang bisa dijelaskan di ujian lisan, melainkan dari pertanyaan jujur yang diajukan pada diri sendiri setelah kunjungan pasien selesai.</w:t>
      </w:r>
    </w:p>
    <w:p>
      <w:pPr>
        <w:spacing w:after="160"/>
        <w:jc w:val="both"/>
      </w:pPr>
      <w:r>
        <w:t xml:space="preserve">Pertanyaan reflektif berikut dapat digunakan peserta didik sebagai bahan evaluasi diri berkala (mis. mengisi jurnal reflektif mingguan) maupun bahan diskusi terstruktur dengan dokter pembimbing klinis, melengkapi instrumen penilaian formal pada Dokumen P6.</w:t>
      </w:r>
    </w:p>
    <w:p>
      <w:pPr>
        <w:pStyle w:val="ListParagraph"/>
        <w:numPr>
          <w:ilvl w:val="0"/>
          <w:numId w:val="1"/>
        </w:numPr>
        <w:spacing w:after="90"/>
      </w:pPr>
      <w:r>
        <w:t xml:space="preserve">Apakah saya menanyakan dukungan keluarga pada setiap ibu hamil yang saya periksa, bukan hanya data biomedis?</w:t>
      </w:r>
    </w:p>
    <w:p>
      <w:pPr>
        <w:pStyle w:val="ListParagraph"/>
        <w:numPr>
          <w:ilvl w:val="0"/>
          <w:numId w:val="1"/>
        </w:numPr>
        <w:spacing w:after="90"/>
      </w:pPr>
      <w:r>
        <w:t xml:space="preserve">Sudahkah saya membahas kehamilan remaja dengan pendekatan tanpa menghakimi, sesuai kerangka HEADSSS?</w:t>
      </w:r>
    </w:p>
    <w:p>
      <w:pPr>
        <w:pStyle w:val="ListParagraph"/>
        <w:numPr>
          <w:ilvl w:val="0"/>
          <w:numId w:val="1"/>
        </w:numPr>
        <w:spacing w:after="90"/>
      </w:pPr>
      <w:r>
        <w:t xml:space="preserve">Bagaimana saya memastikan jadwal imunisasi anak yang saya tangani benar-benar dipantau, bukan hanya dicatat?</w:t>
      </w:r>
    </w:p>
    <w:p>
      <w:pPr>
        <w:pStyle w:val="ListParagraph"/>
        <w:numPr>
          <w:ilvl w:val="0"/>
          <w:numId w:val="1"/>
        </w:numPr>
        <w:spacing w:after="90"/>
      </w:pPr>
      <w:r>
        <w:t xml:space="preserve">Apakah saya cukup peka mengenali tanda kekerasan dalam rumah tangga saat memeriksa ibu dan anak?</w:t>
      </w:r>
    </w:p>
    <w:p>
      <w:pPr>
        <w:pStyle w:val="Heading1"/>
        <w:spacing w:after="150" w:before="300"/>
      </w:pPr>
      <w:r>
        <w:t xml:space="preserve">BAB VIII — PENUTUP</w:t>
      </w:r>
    </w:p>
    <w:p>
      <w:pPr>
        <w:spacing w:after="160"/>
        <w:jc w:val="both"/>
      </w:pPr>
      <w:r>
        <w:t xml:space="preserve">Pengelolaan kesehatan ibu, anak, dan remaja di layanan primer menuntut kesinambungan pemantauan lintas tahap kehidupan serta koordinasi rujukan yang tepat waktu, menjadi salah satu wujud paling nyata dari peran dokter keluarga sebagai Care Provider dan Community Leader sesuai kerangka WHO Five-Star Doctor pada Buku Utama (U0).</w:t>
      </w:r>
    </w:p>
    <w:p>
      <w:pPr>
        <w:pStyle w:val="Heading2"/>
        <w:spacing w:after="120" w:before="250"/>
      </w:pPr>
      <w:r>
        <w:t xml:space="preserve">Glosarium</w:t>
      </w:r>
    </w:p>
    <w:p>
      <w:pPr>
        <w:spacing w:after="90"/>
      </w:pPr>
      <w:r>
        <w:rPr>
          <w:b/>
          <w:bCs/>
        </w:rPr>
        <w:t xml:space="preserve">Pelayanan Antenatal Terpadu — </w:t>
      </w:r>
      <w:r>
        <w:t xml:space="preserve">Pelayanan pemeriksaan kehamilan yang mengintegrasikan penapisan berbagai faktor risiko dalam satu kontak layanan.</w:t>
      </w:r>
    </w:p>
    <w:p>
      <w:pPr>
        <w:spacing w:after="90"/>
      </w:pPr>
      <w:r>
        <w:rPr>
          <w:b/>
          <w:bCs/>
        </w:rPr>
        <w:t xml:space="preserve">Depresi Pascasalin — </w:t>
      </w:r>
      <w:r>
        <w:t xml:space="preserve">Gangguan suasana perasaan yang terjadi setelah persalinan, memerlukan skrining aktif karena sering tidak dilaporkan spontan.</w:t>
      </w:r>
    </w:p>
    <w:p>
      <w:pPr>
        <w:spacing w:after="90"/>
      </w:pPr>
      <w:r>
        <w:rPr>
          <w:b/>
          <w:bCs/>
        </w:rPr>
        <w:t xml:space="preserve">Stunting — </w:t>
      </w:r>
      <w:r>
        <w:t xml:space="preserve">Gangguan pertumbuhan linear kronik akibat kekurangan gizi dan infeksi berulang pada periode kritis tumbuh kembang.</w:t>
      </w:r>
    </w:p>
    <w:p>
      <w:pPr>
        <w:spacing w:after="90"/>
      </w:pPr>
      <w:r>
        <w:rPr>
          <w:b/>
          <w:bCs/>
        </w:rPr>
        <w:t xml:space="preserve">Vaccine Hesitancy — </w:t>
      </w:r>
      <w:r>
        <w:t xml:space="preserve">Keraguan atau penundaan penerimaan imunisasi meski layanan tersedia, memerlukan pendekatan komunikasi empatik.</w:t>
      </w:r>
    </w:p>
    <w:p>
      <w:pPr>
        <w:spacing w:after="90"/>
      </w:pPr>
      <w:r>
        <w:rPr>
          <w:b/>
          <w:bCs/>
        </w:rPr>
        <w:t xml:space="preserve">HEADSSS — </w:t>
      </w:r>
      <w:r>
        <w:t xml:space="preserve">Kerangka wawancara psikososial remaja: Home, Education/Employment, Activities, Drugs, Sexuality, Suicide/depression, Safety.</w:t>
      </w:r>
    </w:p>
    <w:p>
      <w:pPr>
        <w:pStyle w:val="Heading2"/>
        <w:spacing w:after="120" w:before="250"/>
      </w:pPr>
      <w:r>
        <w:t xml:space="preserve">Daftar Pustaka</w:t>
      </w:r>
    </w:p>
    <w:p>
      <w:pPr>
        <w:spacing w:after="90"/>
        <w:ind w:left="360" w:hanging="360"/>
      </w:pPr>
      <w:r>
        <w:t xml:space="preserve">Konsil Kedokteran Indonesia. Peraturan Konsil Kedokteran Indonesia Nomor 65 Tahun 2019.</w:t>
      </w:r>
    </w:p>
    <w:p>
      <w:pPr>
        <w:spacing w:after="90"/>
        <w:ind w:left="360" w:hanging="360"/>
      </w:pPr>
      <w:r>
        <w:t xml:space="preserve">Catatan: jadwal pemeriksaan antenatal, jadwal imunisasi nasional, dan kurva pertumbuhan standar dalam buku ini bersifat umum; pembaca disarankan merujuk pedoman resmi terkini Kementerian Kesehatan RI, POGI, dan IDAI.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2026-07-17T19:08:13.767Z</dcterms:created>
  <dcterms:modified xsi:type="dcterms:W3CDTF">2026-07-17T19:08:13.767Z</dcterms:modified>
</cp:coreProperties>
</file>

<file path=docProps/custom.xml><?xml version="1.0" encoding="utf-8"?>
<Properties xmlns="http://schemas.openxmlformats.org/officeDocument/2006/custom-properties" xmlns:vt="http://schemas.openxmlformats.org/officeDocument/2006/docPropsVTypes"/>
</file>