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t xml:space="preserve">PERPUSTAKAAN DIGITAL ABBA</w:t>
      </w:r>
    </w:p>
    <w:p>
      <w:pPr>
        <w:jc w:val="center"/>
      </w:pPr>
      <w:r>
        <w:t xml:space="preserve">Jl. Kerinci Raya No. 9, Malang 65138</w:t>
      </w:r>
    </w:p>
    <w:p>
      <w:pPr>
        <w:spacing w:after="200"/>
      </w:pPr>
    </w:p>
    <w:p>
      <w:pPr>
        <w:jc w:val="center"/>
      </w:pPr>
      <w:r>
        <w:rPr>
          <w:sz w:val="20"/>
          <w:szCs w:val="20"/>
        </w:rPr>
        <w:t xml:space="preserve">Buku Tematik 3 dari Klaster Digital — Ekosistem Buku Pendidikan Dokter Spesialis Kedokteran Keluarga Layanan Primer (SpKKLP)</w:t>
      </w:r>
    </w:p>
    <w:p>
      <w:pPr>
        <w:spacing w:after="200"/>
      </w:pPr>
    </w:p>
    <w:p>
      <w:pPr>
        <w:jc w:val="center"/>
      </w:pPr>
      <w:r>
        <w:rPr>
          <w:b/>
          <w:bCs/>
          <w:sz w:val="36"/>
          <w:szCs w:val="36"/>
        </w:rPr>
        <w:t xml:space="preserve">Pengelolaan Penyakit Infeksi dan Penyakit Tropis di Layanan Primer</w:t>
      </w:r>
    </w:p>
    <w:p>
      <w:pPr>
        <w:spacing w:after="400"/>
      </w:pPr>
    </w:p>
    <w:p>
      <w:pPr>
        <w:jc w:val="center"/>
      </w:pPr>
      <w:r>
        <w:t xml:space="preserve">Disusun oleh</w:t>
      </w:r>
    </w:p>
    <w:p>
      <w:pPr>
        <w:jc w:val="center"/>
      </w:pPr>
      <w:r>
        <w:rPr>
          <w:b/>
          <w:bCs/>
        </w:rPr>
        <w:t xml:space="preserve">Dr.dr. H. Budi Siswanto, Sp.OG, Subsp.Obginsos., SH., S.Kom.</w:t>
      </w:r>
    </w:p>
    <w:p>
      <w:pPr>
        <w:jc w:val="center"/>
      </w:pPr>
      <w:r>
        <w:t xml:space="preserve">2026</w:t>
      </w:r>
    </w:p>
    <w:p>
      <w:pPr>
        <w:pageBreakBefore/>
      </w:pPr>
    </w:p>
    <w:p>
      <w:pPr>
        <w:pStyle w:val="Heading1"/>
        <w:spacing w:after="150" w:before="300"/>
      </w:pPr>
      <w:r>
        <w:t xml:space="preserve">BAB I — BEBAN PENYAKIT INFEKSI DAN TROPIS DI LAYANAN PRIMER INDONESIA</w:t>
      </w:r>
    </w:p>
    <w:p>
      <w:pPr>
        <w:spacing w:after="160" w:before="40"/>
        <w:jc w:val="both"/>
      </w:pPr>
      <w:r>
        <w:rPr>
          <w:i/>
          <w:iCs/>
          <w:color w:val="2C3A64"/>
          <w:sz w:val="24"/>
          <w:szCs w:val="24"/>
        </w:rPr>
        <w:t xml:space="preserve">Sementara Buku Tematik 2 membahas penyakit yang berkembang perlahan selama bertahun-tahun, bab-bab berikut membahas penyakit yang bisa mengubah nasib pasien hanya dalam hitungan hari — kadang jam. Kecepatan pengenalan pola menjadi kunci di sini.</w:t>
      </w:r>
    </w:p>
    <w:p>
      <w:pPr>
        <w:spacing w:after="160"/>
        <w:jc w:val="both"/>
      </w:pPr>
      <w:r>
        <w:t xml:space="preserve">Indonesia sebagai negara tropis dengan beban ganda penyakit (double burden) masih menghadapi tingginya insidensi penyakit infeksi di samping penyakit tidak menular yang dibahas pada Buku Tematik 2. Dokter spesialis kedokteran keluarga layanan primer berperan sentral dalam deteksi dini, tata laksana awal, notifikasi penyakit menular tertentu, serta koordinasi rujukan pada kasus berat.</w:t>
      </w:r>
    </w:p>
    <w:p>
      <w:pPr>
        <w:pBdr>
          <w:left w:val="single" w:color="A9812F" w:sz="24"/>
        </w:pBdr>
        <w:shd w:fill="FBEFD9" w:val="clear"/>
        <w:spacing w:after="200" w:before="100"/>
        <w:ind w:left="200"/>
      </w:pPr>
      <w:r>
        <w:rPr>
          <w:b/>
          <w:bCs/>
          <w:color w:val="8A6410"/>
        </w:rPr>
        <w:t xml:space="preserve">⚠ TINJAU TENAGA KESEHATAN — </w:t>
      </w:r>
      <w:r>
        <w:rPr>
          <w:i/>
          <w:iCs/>
        </w:rPr>
        <w:t xml:space="preserve">ambang diagnostik, algoritma tata laksana, dan dosis terapi pada bab-bab berikut wajib ditinjau ulang terhadap pedoman nasional terbaru — Kementerian Kesehatan RI, PERDOSKI, PAPDI, IDAI — sebelum dipakai sebagai acuan definitif. Status sumber (per 18 Juli 2026): salinan resmi Perkonsil 65/2019 kini dapat ditelusuri sebagai teks, namun Lampiran V (tabel penyakit per tingkat kemampuan) hanya memuat delapan sistem organ secara eksplisit dan tidak mencakup kategori infeksi tropis secara khusus — sesuai Lampiran IV, topik ini mengacu ke SKDI (Standar Kompetensi Dokter Indonesia), dokumen terpisah yang belum tersedia. Lihat Buku Utama (U0) Bab IX bagian C untuk definisi resmi tingkat kemampuan yang berlaku umum.</w:t>
      </w:r>
    </w:p>
    <w:p>
      <w:pPr>
        <w:pStyle w:val="Heading1"/>
        <w:spacing w:after="150" w:before="300"/>
      </w:pPr>
      <w:r>
        <w:t xml:space="preserve">BAB II — INFEKSI SALURAN PERNAPASAN AKUT</w:t>
      </w:r>
    </w:p>
    <w:p>
      <w:pPr>
        <w:spacing w:after="160" w:before="40"/>
        <w:jc w:val="both"/>
      </w:pPr>
      <w:r>
        <w:rPr>
          <w:i/>
          <w:iCs/>
          <w:color w:val="2C3A64"/>
          <w:sz w:val="24"/>
          <w:szCs w:val="24"/>
        </w:rPr>
        <w:t xml:space="preserve">Batuk-pilek adalah keluhan paling "biasa" yang datang ke layanan primer — justru karena itu, kewaspadaan dokter sering terlena. Bab ini melatih mata untuk membedakan yang benar-benar biasa dari yang menyamar sebagai biasa.</w:t>
      </w:r>
    </w:p>
    <w:p>
      <w:pPr>
        <w:pStyle w:val="Heading2"/>
        <w:spacing w:after="120" w:before="250"/>
      </w:pPr>
      <w:r>
        <w:t xml:space="preserve">A. Membedakan Viral dari yang Memerlukan Antibiotik</w:t>
      </w:r>
    </w:p>
    <w:p>
      <w:pPr>
        <w:spacing w:after="160"/>
        <w:jc w:val="both"/>
      </w:pPr>
      <w:r>
        <w:t xml:space="preserve">Infeksi saluran pernapasan akut (ISPA) merupakan alasan kunjungan tersering di layanan primer pada semua kelompok usia. Pendekatan kedokteran keluarga menekankan pembedaan klinis antara infeksi virus swasirna dan kondisi yang memerlukan terapi antibiotik atau rujukan, guna mendukung penggunaan antibiotik yang rasional.</w:t>
      </w:r>
    </w:p>
    <w:p>
      <w:pPr>
        <w:pStyle w:val="ListParagraph"/>
        <w:numPr>
          <w:ilvl w:val="0"/>
          <w:numId w:val="1"/>
        </w:numPr>
        <w:spacing w:after="90"/>
      </w:pPr>
      <w:r>
        <w:t xml:space="preserve">Pembedaan klinis faringitis viral dan faringitis streptokokus sebagai dasar keputusan terapi antibiotik.</w:t>
      </w:r>
    </w:p>
    <w:p>
      <w:pPr>
        <w:pStyle w:val="ListParagraph"/>
        <w:numPr>
          <w:ilvl w:val="0"/>
          <w:numId w:val="1"/>
        </w:numPr>
        <w:spacing w:after="90"/>
      </w:pPr>
      <w:r>
        <w:t xml:space="preserve">Edukasi keluarga tentang perjalanan alamiah ISPA viral dan tanda yang memerlukan kunjungan ulang (safety netting, Buku Tematik 1).</w:t>
      </w:r>
    </w:p>
    <w:p>
      <w:pPr>
        <w:pStyle w:val="Heading2"/>
        <w:spacing w:after="120" w:before="250"/>
      </w:pPr>
      <w:r>
        <w:t xml:space="preserve">B. Tanda Bahaya pada Anak</w:t>
      </w:r>
    </w:p>
    <w:p>
      <w:pPr>
        <w:spacing w:after="160"/>
        <w:jc w:val="both"/>
      </w:pPr>
      <w:r>
        <w:t xml:space="preserve">Penilaian tanda bahaya pernapasan pada anak (napas cepat, retraksi dinding dada, stridor saat istirahat) menjadi indikasi rujukan segera. Kewaspadaan terhadap pneumonia perlu ditingkatkan pada kelompok rentan: balita, lansia, dan pasien dengan komorbiditas.</w:t>
      </w:r>
    </w:p>
    <w:p>
      <w:pPr>
        <w:pBdr>
          <w:left w:val="single" w:color="2C3A64" w:sz="24"/>
        </w:pBdr>
        <w:shd w:fill="EEF1F8" w:val="clear"/>
        <w:spacing w:after="200" w:before="100"/>
        <w:ind w:left="200"/>
      </w:pPr>
      <w:r>
        <w:rPr>
          <w:b/>
          <w:bCs/>
          <w:color w:val="2C3A64"/>
        </w:rPr>
        <w:t xml:space="preserve">🩺 Ilustrasi Kasus — </w:t>
      </w:r>
      <w:r>
        <w:t xml:space="preserve">Seorang balita 18 bulan dibawa ibunya dengan keluhan "batuk pilek biasa" selama tiga hari. Pemeriksaan menunjukkan napas 52 kali per menit dengan retraksi dinding dada ringan — tanda yang mudah terlewat bila dokter hanya mengandalkan kesan umum "anak masih aktif bermain". Dokter merujuk segera untuk evaluasi pneumonia, menghindari kesalahan umum menganggap anak yang tampak aktif pasti tidak gawat.</w:t>
      </w:r>
    </w:p>
    <w:p>
      <w:pPr>
        <w:pStyle w:val="Heading1"/>
        <w:spacing w:after="150" w:before="300"/>
      </w:pPr>
      <w:r>
        <w:t xml:space="preserve">BAB III — TUBERKULOSIS DI LAYANAN PRIMER</w:t>
      </w:r>
    </w:p>
    <w:p>
      <w:pPr>
        <w:spacing w:after="160" w:before="40"/>
        <w:jc w:val="both"/>
      </w:pPr>
      <w:r>
        <w:rPr>
          <w:i/>
          <w:iCs/>
          <w:color w:val="2C3A64"/>
          <w:sz w:val="24"/>
          <w:szCs w:val="24"/>
        </w:rPr>
        <w:t xml:space="preserve">Tuberkulosis adalah penyakit yang pengobatannya berhasil bukan karena satu resep tepat, melainkan karena kesabaran berbulan-bulan yang dijaga bersama keluarga pasien.</w:t>
      </w:r>
    </w:p>
    <w:p>
      <w:pPr>
        <w:pStyle w:val="Heading2"/>
        <w:spacing w:after="120" w:before="250"/>
      </w:pPr>
      <w:r>
        <w:t xml:space="preserve">A. Peran Dokter Layanan Primer</w:t>
      </w:r>
    </w:p>
    <w:p>
      <w:pPr>
        <w:spacing w:after="160"/>
        <w:jc w:val="both"/>
      </w:pPr>
      <w:r>
        <w:t xml:space="preserve">Tuberkulosis tetap menjadi prioritas kesehatan masyarakat nasional. Dokter layanan primer berperan dalam penemuan kasus, penegakan diagnosis sesuai alur nasional, pengawasan pengobatan yang berkesinambungan, serta penapisan pada kontak serumah.</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c>
          <w:tcPr>
            <w:tcW w:type="dxa" w:w="4500"/>
            <w:shd w:fill="2C3A64" w:val="clear"/>
          </w:tcPr>
          <w:p>
            <w:r>
              <w:rPr>
                <w:b/>
                <w:bCs/>
                <w:color w:val="FFFFFF"/>
              </w:rPr>
              <w:t xml:space="preserve">Peran Dokter Layanan Primer</w:t>
            </w:r>
          </w:p>
        </w:tc>
        <w:tc>
          <w:tcPr>
            <w:tcW w:type="dxa" w:w="4500"/>
            <w:shd w:fill="2C3A64" w:val="clear"/>
          </w:tcPr>
          <w:p>
            <w:r>
              <w:rPr>
                <w:b/>
                <w:bCs/>
                <w:color w:val="FFFFFF"/>
              </w:rPr>
              <w:t xml:space="preserve">Uraian</w:t>
            </w:r>
          </w:p>
        </w:tc>
      </w:tr>
      <w:tr>
        <w:tc>
          <w:tcPr>
            <w:tcW w:type="dxa" w:w="4500"/>
          </w:tcPr>
          <w:p>
            <w:r>
              <w:t xml:space="preserve">Penemuan kasus</w:t>
            </w:r>
          </w:p>
        </w:tc>
        <w:tc>
          <w:tcPr>
            <w:tcW w:type="dxa" w:w="4500"/>
          </w:tcPr>
          <w:p>
            <w:r>
              <w:t xml:space="preserve">Penapisan gejala pada pasien dengan batuk berkepanjangan dan kelompok berisiko</w:t>
            </w:r>
          </w:p>
        </w:tc>
      </w:tr>
      <w:tr>
        <w:tc>
          <w:tcPr>
            <w:tcW w:type="dxa" w:w="4500"/>
          </w:tcPr>
          <w:p>
            <w:r>
              <w:t xml:space="preserve">Investigasi kontak</w:t>
            </w:r>
          </w:p>
        </w:tc>
        <w:tc>
          <w:tcPr>
            <w:tcW w:type="dxa" w:w="4500"/>
          </w:tcPr>
          <w:p>
            <w:r>
              <w:t xml:space="preserve">Penelusuran dan penapisan kontak serumah/erat menggunakan genogram keluarga</w:t>
            </w:r>
          </w:p>
        </w:tc>
      </w:tr>
      <w:tr>
        <w:tc>
          <w:tcPr>
            <w:tcW w:type="dxa" w:w="4500"/>
          </w:tcPr>
          <w:p>
            <w:r>
              <w:t xml:space="preserve">Pengawasan pengobatan</w:t>
            </w:r>
          </w:p>
        </w:tc>
        <w:tc>
          <w:tcPr>
            <w:tcW w:type="dxa" w:w="4500"/>
          </w:tcPr>
          <w:p>
            <w:r>
              <w:t xml:space="preserve">Pemantauan kepatuhan minum obat dan pemantauan efek samping selama masa pengobatan</w:t>
            </w:r>
          </w:p>
        </w:tc>
      </w:tr>
      <w:tr>
        <w:tc>
          <w:tcPr>
            <w:tcW w:type="dxa" w:w="4500"/>
          </w:tcPr>
          <w:p>
            <w:r>
              <w:t xml:space="preserve">Edukasi keluarga</w:t>
            </w:r>
          </w:p>
        </w:tc>
        <w:tc>
          <w:tcPr>
            <w:tcW w:type="dxa" w:w="4500"/>
          </w:tcPr>
          <w:p>
            <w:r>
              <w:t xml:space="preserve">Edukasi pencegahan penularan di rumah dan dukungan psikososial selama pengobatan panjang</w:t>
            </w:r>
          </w:p>
        </w:tc>
      </w:tr>
    </w:tbl>
    <w:p>
      <w:pPr>
        <w:spacing w:after="160"/>
      </w:pPr>
    </w:p>
    <w:p>
      <w:pPr>
        <w:pStyle w:val="Heading2"/>
        <w:spacing w:after="120" w:before="250"/>
      </w:pPr>
      <w:r>
        <w:t xml:space="preserve">B. Investigasi Kontak dengan Genogram</w:t>
      </w:r>
    </w:p>
    <w:p>
      <w:pPr>
        <w:spacing w:after="160"/>
        <w:jc w:val="both"/>
      </w:pPr>
      <w:r>
        <w:t xml:space="preserve">Investigasi kontak memanfaatkan genogram keluarga binaan dari Buku Tematik 1 untuk memetakan kontak berisiko secara sistematis, bukan sekadar bertanya sepintas. Tuberkulosis resisten obat memerlukan rujukan ke layanan dengan kapasitas tata laksana lini kedua sesuai program nasional; dokter layanan primer tetap berperan dalam dukungan kepatuhan dan pemantauan pasca-rujukan balik.</w:t>
      </w:r>
    </w:p>
    <w:p>
      <w:pPr>
        <w:pBdr>
          <w:left w:val="single" w:color="2C3A64" w:sz="24"/>
        </w:pBdr>
        <w:shd w:fill="EEF1F8" w:val="clear"/>
        <w:spacing w:after="200" w:before="100"/>
        <w:ind w:left="200"/>
      </w:pPr>
      <w:r>
        <w:rPr>
          <w:b/>
          <w:bCs/>
          <w:color w:val="2C3A64"/>
        </w:rPr>
        <w:t xml:space="preserve">🩺 Ilustrasi Kasus — </w:t>
      </w:r>
      <w:r>
        <w:t xml:space="preserve">Seorang laki-laki 40 tahun didiagnosis tuberkulosis paru. Genogram yang dibuat mengungkap tiga anak dan seorang nenek yang tinggal serumah. Investigasi kontak sistematis menemukan anak keduanya (8 tahun) juga menunjukkan gejala batuk ringan yang selama ini dianggap "batuk biasa anak-anak" — deteksi dini ini memungkinkan tata laksana lebih awal sebelum penyakit berkembang lebih jauh.</w:t>
      </w:r>
    </w:p>
    <w:p>
      <w:pPr>
        <w:pStyle w:val="Heading1"/>
        <w:spacing w:after="150" w:before="300"/>
      </w:pPr>
      <w:r>
        <w:t xml:space="preserve">BAB IV — DEMAM BERDARAH DENGUE DAN ARBOVIROSIS LAIN</w:t>
      </w:r>
    </w:p>
    <w:p>
      <w:pPr>
        <w:spacing w:after="160" w:before="40"/>
        <w:jc w:val="both"/>
      </w:pPr>
      <w:r>
        <w:rPr>
          <w:i/>
          <w:iCs/>
          <w:color w:val="2C3A64"/>
          <w:sz w:val="24"/>
          <w:szCs w:val="24"/>
        </w:rPr>
        <w:t xml:space="preserve">DBD berbahaya justru karena polanya menipu: demam turun, pasien tampak membaik — padahal itulah saat paling kritis dalam perjalanan penyakitnya.</w:t>
      </w:r>
    </w:p>
    <w:p>
      <w:pPr>
        <w:spacing w:after="160"/>
        <w:jc w:val="both"/>
      </w:pPr>
      <w:r>
        <w:t xml:space="preserve">Demam berdarah dengue (DBD) memerlukan kewaspadaan tinggi di layanan primer karena perjalanan klinisnya dapat memburuk cepat pada fase kritis. Dokter layanan primer berperan dalam identifikasi tanda bahaya, triase kebutuhan rawat inap, dan edukasi keluarga tentang pemantauan di rumah pada kasus ringan yang tidak memerlukan rawat inap.</w:t>
      </w:r>
    </w:p>
    <w:p>
      <w:pPr>
        <w:pStyle w:val="ListParagraph"/>
        <w:numPr>
          <w:ilvl w:val="0"/>
          <w:numId w:val="1"/>
        </w:numPr>
        <w:spacing w:after="90"/>
      </w:pPr>
      <w:r>
        <w:t xml:space="preserve">Kewaspadaan terhadap tanda bahaya (warning signs): nyeri perut hebat, muntah berkepanjangan, perdarahan mukosa, letargi, pembesaran hati, serta perubahan mendadak dari demam ke tidak demam disertai perburukan klinis.</w:t>
      </w:r>
    </w:p>
    <w:p>
      <w:pPr>
        <w:pStyle w:val="ListParagraph"/>
        <w:numPr>
          <w:ilvl w:val="0"/>
          <w:numId w:val="1"/>
        </w:numPr>
        <w:spacing w:after="90"/>
      </w:pPr>
      <w:r>
        <w:t xml:space="preserve">Edukasi keluarga tentang pemantauan tanda bahaya di rumah dan kriteria kembali segera ke fasilitas kesehatan.</w:t>
      </w:r>
    </w:p>
    <w:p>
      <w:pPr>
        <w:pStyle w:val="ListParagraph"/>
        <w:numPr>
          <w:ilvl w:val="0"/>
          <w:numId w:val="1"/>
        </w:numPr>
        <w:spacing w:after="90"/>
      </w:pPr>
      <w:r>
        <w:t xml:space="preserve">Koordinasi dengan program pengendalian vektor komunitas sebagai bagian dari pendekatan kedokteran komunitas (Buku Tematik 8).</w:t>
      </w:r>
    </w:p>
    <w:p>
      <w:pPr>
        <w:pStyle w:val="Heading1"/>
        <w:spacing w:after="150" w:before="300"/>
      </w:pPr>
      <w:r>
        <w:t xml:space="preserve">BAB V — MALARIA DI DAERAH ENDEMIS</w:t>
      </w:r>
    </w:p>
    <w:p>
      <w:pPr>
        <w:spacing w:after="160" w:before="40"/>
        <w:jc w:val="both"/>
      </w:pPr>
      <w:r>
        <w:rPr>
          <w:i/>
          <w:iCs/>
          <w:color w:val="2C3A64"/>
          <w:sz w:val="24"/>
          <w:szCs w:val="24"/>
        </w:rPr>
        <w:t xml:space="preserve">Di wilayah endemis, "demam biasa" tidak pernah benar-benar biasa sampai malaria disingkirkan.</w:t>
      </w:r>
    </w:p>
    <w:p>
      <w:pPr>
        <w:spacing w:after="160"/>
        <w:jc w:val="both"/>
      </w:pPr>
      <w:r>
        <w:t xml:space="preserve">Pada wilayah endemis, malaria wajib menjadi diagnosis banding pada setiap pasien demam. Dokter layanan primer berperan dalam diagnosis cepat (pemeriksaan mikroskopis atau rapid diagnostic test sesuai ketersediaan fasilitas), tata laksana sesuai jenis Plasmodium, serta pelaporan kasus sebagai bagian dari surveilans nasional menuju eliminasi malaria.</w:t>
      </w:r>
    </w:p>
    <w:p>
      <w:pPr>
        <w:pStyle w:val="Heading1"/>
        <w:spacing w:after="150" w:before="300"/>
      </w:pPr>
      <w:r>
        <w:t xml:space="preserve">BAB VI — DIARE INFEKSI DAN PENYAKIT BAWAAN MAKANAN-AIR</w:t>
      </w:r>
    </w:p>
    <w:p>
      <w:pPr>
        <w:spacing w:after="160" w:before="40"/>
        <w:jc w:val="both"/>
      </w:pPr>
      <w:r>
        <w:rPr>
          <w:i/>
          <w:iCs/>
          <w:color w:val="2C3A64"/>
          <w:sz w:val="24"/>
          <w:szCs w:val="24"/>
        </w:rPr>
        <w:t xml:space="preserve">Sebagian besar kematian akibat diare pada balita sebenarnya dapat dicegah dengan sesuatu yang sederhana: cairan yang cukup, diberikan tepat waktu.</w:t>
      </w:r>
    </w:p>
    <w:p>
      <w:pPr>
        <w:spacing w:after="160"/>
        <w:jc w:val="both"/>
      </w:pPr>
      <w:r>
        <w:t xml:space="preserve">Diare infeksi tetap menjadi penyebab morbiditas dan mortalitas signifikan pada balita di Indonesia. Tata laksana layanan primer menekankan penilaian derajat dehidrasi, rehidrasi oral sebagai lini pertama, kewaspadaan penggunaan antibiotik yang tidak rasional, serta edukasi keluarga tentang sanitasi dan air bersih sebagai pencegahan.</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c>
          <w:tcPr>
            <w:tcW w:type="dxa" w:w="4500"/>
            <w:shd w:fill="2C3A64" w:val="clear"/>
          </w:tcPr>
          <w:p>
            <w:r>
              <w:rPr>
                <w:b/>
                <w:bCs/>
                <w:color w:val="FFFFFF"/>
              </w:rPr>
              <w:t xml:space="preserve">Derajat Dehidrasi</w:t>
            </w:r>
          </w:p>
        </w:tc>
        <w:tc>
          <w:tcPr>
            <w:tcW w:type="dxa" w:w="4500"/>
            <w:shd w:fill="2C3A64" w:val="clear"/>
          </w:tcPr>
          <w:p>
            <w:r>
              <w:rPr>
                <w:b/>
                <w:bCs/>
                <w:color w:val="FFFFFF"/>
              </w:rPr>
              <w:t xml:space="preserve">Prinsip Tata Laksana Umum</w:t>
            </w:r>
          </w:p>
        </w:tc>
      </w:tr>
      <w:tr>
        <w:tc>
          <w:tcPr>
            <w:tcW w:type="dxa" w:w="4500"/>
          </w:tcPr>
          <w:p>
            <w:r>
              <w:t xml:space="preserve">Tanpa dehidrasi</w:t>
            </w:r>
          </w:p>
        </w:tc>
        <w:tc>
          <w:tcPr>
            <w:tcW w:type="dxa" w:w="4500"/>
          </w:tcPr>
          <w:p>
            <w:r>
              <w:t xml:space="preserve">Rehidrasi oral di rumah, edukasi keluarga, lanjutkan pemberian makan</w:t>
            </w:r>
          </w:p>
        </w:tc>
      </w:tr>
      <w:tr>
        <w:tc>
          <w:tcPr>
            <w:tcW w:type="dxa" w:w="4500"/>
          </w:tcPr>
          <w:p>
            <w:r>
              <w:t xml:space="preserve">Dehidrasi ringan-sedang</w:t>
            </w:r>
          </w:p>
        </w:tc>
        <w:tc>
          <w:tcPr>
            <w:tcW w:type="dxa" w:w="4500"/>
          </w:tcPr>
          <w:p>
            <w:r>
              <w:t xml:space="preserve">Rehidrasi oral terpantau di fasilitas kesehatan, evaluasi ulang berkala</w:t>
            </w:r>
          </w:p>
        </w:tc>
      </w:tr>
      <w:tr>
        <w:tc>
          <w:tcPr>
            <w:tcW w:type="dxa" w:w="4500"/>
          </w:tcPr>
          <w:p>
            <w:r>
              <w:t xml:space="preserve">Dehidrasi berat</w:t>
            </w:r>
          </w:p>
        </w:tc>
        <w:tc>
          <w:tcPr>
            <w:tcW w:type="dxa" w:w="4500"/>
          </w:tcPr>
          <w:p>
            <w:r>
              <w:t xml:space="preserve">Rujukan segera untuk rehidrasi intravena dan tata laksana lanjutan</w:t>
            </w:r>
          </w:p>
        </w:tc>
      </w:tr>
    </w:tbl>
    <w:p>
      <w:pPr>
        <w:spacing w:after="160"/>
      </w:pPr>
    </w:p>
    <w:p>
      <w:pPr>
        <w:pStyle w:val="Heading1"/>
        <w:spacing w:after="150" w:before="300"/>
      </w:pPr>
      <w:r>
        <w:t xml:space="preserve">BAB VII — INFEKSI KULIT DAN JARINGAN LUNAK YANG LAZIM</w:t>
      </w:r>
    </w:p>
    <w:p>
      <w:pPr>
        <w:spacing w:after="160" w:before="40"/>
        <w:jc w:val="both"/>
      </w:pPr>
      <w:r>
        <w:rPr>
          <w:i/>
          <w:iCs/>
          <w:color w:val="2C3A64"/>
          <w:sz w:val="24"/>
          <w:szCs w:val="24"/>
        </w:rPr>
        <w:t xml:space="preserve">Skabies jarang mengancam nyawa, tapi bisa merusak kualitas hidup satu rumah tangga penuh bila hanya satu anggota keluarga yang diobati.</w:t>
      </w:r>
    </w:p>
    <w:p>
      <w:pPr>
        <w:spacing w:after="160"/>
        <w:jc w:val="both"/>
      </w:pPr>
      <w:r>
        <w:t xml:space="preserve">Infeksi kulit seperti skabies, pioderma, dan infeksi jamur superfisial lazim ditemukan di layanan primer, sering berkaitan dengan kondisi sanitasi dan kepadatan hunian. Pendekatan kedokteran keluarga menekankan tata laksana yang mempertimbangkan seluruh anggota keluarga serumah pada kondisi menular seperti skabies, bukan hanya pasien indeks.</w:t>
      </w:r>
    </w:p>
    <w:p>
      <w:pPr>
        <w:pStyle w:val="Heading1"/>
        <w:spacing w:after="150" w:before="300"/>
      </w:pPr>
      <w:r>
        <w:t xml:space="preserve">BAB VIII — PRINSIP PENGENDALIAN DAN PENCEGAHAN INFEKSI DI LAYANAN PRIMER</w:t>
      </w:r>
    </w:p>
    <w:p>
      <w:pPr>
        <w:spacing w:after="160" w:before="40"/>
        <w:jc w:val="both"/>
      </w:pPr>
      <w:r>
        <w:rPr>
          <w:i/>
          <w:iCs/>
          <w:color w:val="2C3A64"/>
          <w:sz w:val="24"/>
          <w:szCs w:val="24"/>
        </w:rPr>
        <w:t xml:space="preserve">Intervensi paling murah dan paling berdampak dalam seluruh bab ini bukan obat — melainkan kebiasaan mencuci tangan yang benar.</w:t>
      </w:r>
    </w:p>
    <w:p>
      <w:pPr>
        <w:spacing w:after="160"/>
        <w:jc w:val="both"/>
      </w:pPr>
      <w:r>
        <w:t xml:space="preserve">Pengendalian infeksi di fasilitas layanan primer mencakup kewaspadaan standar (hand hygiene, penggunaan alat pelindung diri sesuai risiko, pengelolaan limbah medis), penerapan program imunisasi sebagai pencegahan primer, serta edukasi keluarga tentang pencegahan penularan di lingkungan rumah tangga.</w:t>
      </w:r>
    </w:p>
    <w:p>
      <w:pPr>
        <w:pStyle w:val="ListParagraph"/>
        <w:numPr>
          <w:ilvl w:val="0"/>
          <w:numId w:val="1"/>
        </w:numPr>
        <w:spacing w:after="90"/>
      </w:pPr>
      <w:r>
        <w:t xml:space="preserve">Kebersihan tangan sebagai intervensi tunggal paling efektif dalam pengendalian infeksi.</w:t>
      </w:r>
    </w:p>
    <w:p>
      <w:pPr>
        <w:pStyle w:val="ListParagraph"/>
        <w:numPr>
          <w:ilvl w:val="0"/>
          <w:numId w:val="1"/>
        </w:numPr>
        <w:spacing w:after="90"/>
      </w:pPr>
      <w:r>
        <w:t xml:space="preserve">Peran aktif dalam program imunisasi nasional sebagai bagian dari pelayanan promotif-preventif.</w:t>
      </w:r>
    </w:p>
    <w:p>
      <w:pPr>
        <w:pStyle w:val="ListParagraph"/>
        <w:numPr>
          <w:ilvl w:val="0"/>
          <w:numId w:val="1"/>
        </w:numPr>
        <w:spacing w:after="90"/>
      </w:pPr>
      <w:r>
        <w:t xml:space="preserve">Edukasi keluarga tentang isolasi rumah tangga yang wajar pada penyakit menular tertentu tanpa stigmatisasi berlebihan.</w:t>
      </w:r>
    </w:p>
    <w:p>
      <w:pPr>
        <w:pStyle w:val="Heading1"/>
        <w:spacing w:after="150" w:before="300"/>
      </w:pPr>
      <w:r>
        <w:t xml:space="preserve">BAB VIII-A — PENJENJANGAN CAPAIAN PEMBELAJARAN TAHUN I–IV: PENGELOLAAN PENYAKIT INFEKSI DAN TROPIS</w:t>
      </w:r>
    </w:p>
    <w:p>
      <w:pPr>
        <w:spacing w:after="160" w:before="40"/>
        <w:jc w:val="both"/>
      </w:pPr>
      <w:r>
        <w:rPr>
          <w:i/>
          <w:iCs/>
          <w:color w:val="2C3A64"/>
          <w:sz w:val="24"/>
          <w:szCs w:val="24"/>
        </w:rPr>
        <w:t xml:space="preserve">Batuk-pilek biasa dan awal gejala demam berdarah bisa terlihat sama pada hari pertama — kemampuan membedakan itulah yang berkembang sepanjang penjenjangan berikut.</w:t>
      </w:r>
    </w:p>
    <w:p>
      <w:pPr>
        <w:spacing w:after="160"/>
        <w:jc w:val="both"/>
      </w:pPr>
      <w:r>
        <w:t xml:space="preserve">Penjenjangan berikut merupakan usulan kerangka penahapan berbasis pola umum pendidikan spesialis empat tahun dan notasi penjenjangan capaian pembelajaran Perkonsil 65/2019 (mis. tingkat kemampuan 1–4A), diselaraskan dengan topik buku ini. Kedalaman dan urutan aktual tetap mengikuti kurikulum operasional program studi serta hasil evaluasi individual peserta didik — tabel ini bukan pengganti matriks kewenangan klinis resmi (lihat Dokumen P4).</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c>
          <w:tcPr>
            <w:tcW w:type="dxa" w:w="2250"/>
            <w:shd w:fill="2C3A64" w:val="clear"/>
          </w:tcPr>
          <w:p>
            <w:r>
              <w:rPr>
                <w:b/>
                <w:bCs/>
                <w:color w:val="FFFFFF"/>
              </w:rPr>
              <w:t xml:space="preserve">Tahun Pendidikan</w:t>
            </w:r>
          </w:p>
        </w:tc>
        <w:tc>
          <w:tcPr>
            <w:tcW w:type="dxa" w:w="2250"/>
            <w:shd w:fill="2C3A64" w:val="clear"/>
          </w:tcPr>
          <w:p>
            <w:r>
              <w:rPr>
                <w:b/>
                <w:bCs/>
                <w:color w:val="FFFFFF"/>
              </w:rPr>
              <w:t xml:space="preserve">Fokus Belajar Utama</w:t>
            </w:r>
          </w:p>
        </w:tc>
        <w:tc>
          <w:tcPr>
            <w:tcW w:type="dxa" w:w="2250"/>
            <w:shd w:fill="2C3A64" w:val="clear"/>
          </w:tcPr>
          <w:p>
            <w:r>
              <w:rPr>
                <w:b/>
                <w:bCs/>
                <w:color w:val="FFFFFF"/>
              </w:rPr>
              <w:t xml:space="preserve">Tingkat Kemandirian Klinis</w:t>
            </w:r>
          </w:p>
        </w:tc>
        <w:tc>
          <w:tcPr>
            <w:tcW w:type="dxa" w:w="2250"/>
            <w:shd w:fill="2C3A64" w:val="clear"/>
          </w:tcPr>
          <w:p>
            <w:r>
              <w:rPr>
                <w:b/>
                <w:bCs/>
                <w:color w:val="FFFFFF"/>
              </w:rPr>
              <w:t xml:space="preserve">Capaian yang Diharapkan</w:t>
            </w:r>
          </w:p>
        </w:tc>
      </w:tr>
      <w:tr>
        <w:tc>
          <w:tcPr>
            <w:tcW w:type="dxa" w:w="2250"/>
          </w:tcPr>
          <w:p>
            <w:r>
              <w:t xml:space="preserve">Tahun I</w:t>
            </w:r>
          </w:p>
        </w:tc>
        <w:tc>
          <w:tcPr>
            <w:tcW w:type="dxa" w:w="2250"/>
          </w:tcPr>
          <w:p>
            <w:r>
              <w:t xml:space="preserve">Mengenali presentasi klinis infeksi respiratorik akut, diare, dan infeksi kulit yang lazim.</w:t>
            </w:r>
          </w:p>
        </w:tc>
        <w:tc>
          <w:tcPr>
            <w:tcW w:type="dxa" w:w="2250"/>
          </w:tcPr>
          <w:p>
            <w:r>
              <w:t xml:space="preserve">Observasi dan dibimbing langsung.</w:t>
            </w:r>
          </w:p>
        </w:tc>
        <w:tc>
          <w:tcPr>
            <w:tcW w:type="dxa" w:w="2250"/>
          </w:tcPr>
          <w:p>
            <w:r>
              <w:t xml:space="preserve">Mampu menegakkan diagnosis kasus infeksi tanpa komplikasi dengan supervisi.</w:t>
            </w:r>
          </w:p>
        </w:tc>
      </w:tr>
      <w:tr>
        <w:tc>
          <w:tcPr>
            <w:tcW w:type="dxa" w:w="2250"/>
          </w:tcPr>
          <w:p>
            <w:r>
              <w:t xml:space="preserve">Tahun II</w:t>
            </w:r>
          </w:p>
        </w:tc>
        <w:tc>
          <w:tcPr>
            <w:tcW w:type="dxa" w:w="2250"/>
          </w:tcPr>
          <w:p>
            <w:r>
              <w:t xml:space="preserve">Menyusun tata laksana awal TB, DBD, dan malaria fase dini; mengenali tanda bahaya (warning signs).</w:t>
            </w:r>
          </w:p>
        </w:tc>
        <w:tc>
          <w:tcPr>
            <w:tcW w:type="dxa" w:w="2250"/>
          </w:tcPr>
          <w:p>
            <w:r>
              <w:t xml:space="preserve">Dibimbing tidak langsung.</w:t>
            </w:r>
          </w:p>
        </w:tc>
        <w:tc>
          <w:tcPr>
            <w:tcW w:type="dxa" w:w="2250"/>
          </w:tcPr>
          <w:p>
            <w:r>
              <w:t xml:space="preserve">Mampu mengenali tanda kegawatan yang memerlukan eskalasi/rujukan segera.</w:t>
            </w:r>
          </w:p>
        </w:tc>
      </w:tr>
      <w:tr>
        <w:tc>
          <w:tcPr>
            <w:tcW w:type="dxa" w:w="2250"/>
          </w:tcPr>
          <w:p>
            <w:r>
              <w:t xml:space="preserve">Tahun III</w:t>
            </w:r>
          </w:p>
        </w:tc>
        <w:tc>
          <w:tcPr>
            <w:tcW w:type="dxa" w:w="2250"/>
          </w:tcPr>
          <w:p>
            <w:r>
              <w:t xml:space="preserve">Mengelola kasus infeksi dengan komplikasi atau populasi berisiko khusus (anak, lansia, komorbid).</w:t>
            </w:r>
          </w:p>
        </w:tc>
        <w:tc>
          <w:tcPr>
            <w:tcW w:type="dxa" w:w="2250"/>
          </w:tcPr>
          <w:p>
            <w:r>
              <w:t xml:space="preserve">Mandiri dengan supervisi berkala.</w:t>
            </w:r>
          </w:p>
        </w:tc>
        <w:tc>
          <w:tcPr>
            <w:tcW w:type="dxa" w:w="2250"/>
          </w:tcPr>
          <w:p>
            <w:r>
              <w:t xml:space="preserve">Mampu memimpin pelacakan kontak dan koordinasi program pengendalian infeksi lokal.</w:t>
            </w:r>
          </w:p>
        </w:tc>
      </w:tr>
      <w:tr>
        <w:tc>
          <w:tcPr>
            <w:tcW w:type="dxa" w:w="2250"/>
          </w:tcPr>
          <w:p>
            <w:r>
              <w:t xml:space="preserve">Tahun IV</w:t>
            </w:r>
          </w:p>
        </w:tc>
        <w:tc>
          <w:tcPr>
            <w:tcW w:type="dxa" w:w="2250"/>
          </w:tcPr>
          <w:p>
            <w:r>
              <w:t xml:space="preserve">Merancang strategi pengendalian infeksi tingkat wilayah kerja (surveilans, kewaspadaan dini KLB).</w:t>
            </w:r>
          </w:p>
        </w:tc>
        <w:tc>
          <w:tcPr>
            <w:tcW w:type="dxa" w:w="2250"/>
          </w:tcPr>
          <w:p>
            <w:r>
              <w:t xml:space="preserve">Mandiri penuh, peran koordinasi program.</w:t>
            </w:r>
          </w:p>
        </w:tc>
        <w:tc>
          <w:tcPr>
            <w:tcW w:type="dxa" w:w="2250"/>
          </w:tcPr>
          <w:p>
            <w:r>
              <w:t xml:space="preserve">Mampu mengevaluasi mutu program pengendalian infeksi di fasilitas layanan primer.</w:t>
            </w:r>
          </w:p>
        </w:tc>
      </w:tr>
    </w:tbl>
    <w:p>
      <w:pPr>
        <w:spacing w:after="160"/>
      </w:pPr>
    </w:p>
    <w:p>
      <w:pPr>
        <w:pStyle w:val="Heading1"/>
        <w:spacing w:after="150" w:before="300"/>
      </w:pPr>
      <w:r>
        <w:t xml:space="preserve">BAB VIII-B — EVALUASI DIRI DAN PERTANYAAN REFLEKTIF</w:t>
      </w:r>
    </w:p>
    <w:p>
      <w:pPr>
        <w:spacing w:after="160" w:before="40"/>
        <w:jc w:val="both"/>
      </w:pPr>
      <w:r>
        <w:rPr>
          <w:i/>
          <w:iCs/>
          <w:color w:val="2C3A64"/>
          <w:sz w:val="24"/>
          <w:szCs w:val="24"/>
        </w:rPr>
        <w:t xml:space="preserve">Kompetensi yang sesungguhnya sering terlihat bukan dari apa yang bisa dijelaskan di ujian lisan, melainkan dari pertanyaan jujur yang diajukan pada diri sendiri setelah kunjungan pasien selesai.</w:t>
      </w:r>
    </w:p>
    <w:p>
      <w:pPr>
        <w:spacing w:after="160"/>
        <w:jc w:val="both"/>
      </w:pPr>
      <w:r>
        <w:t xml:space="preserve">Pertanyaan reflektif berikut dapat digunakan peserta didik sebagai bahan evaluasi diri berkala (mis. mengisi jurnal reflektif mingguan) maupun bahan diskusi terstruktur dengan dokter pembimbing klinis, melengkapi instrumen penilaian formal pada Dokumen P6.</w:t>
      </w:r>
    </w:p>
    <w:p>
      <w:pPr>
        <w:pStyle w:val="ListParagraph"/>
        <w:numPr>
          <w:ilvl w:val="0"/>
          <w:numId w:val="1"/>
        </w:numPr>
        <w:spacing w:after="90"/>
      </w:pPr>
      <w:r>
        <w:t xml:space="preserve">Apakah saya sudah membedakan tanda bahaya DBD dari demam biasa sebelum hari ke-3-5, bukan sesudahnya?</w:t>
      </w:r>
    </w:p>
    <w:p>
      <w:pPr>
        <w:pStyle w:val="ListParagraph"/>
        <w:numPr>
          <w:ilvl w:val="0"/>
          <w:numId w:val="1"/>
        </w:numPr>
        <w:spacing w:after="90"/>
      </w:pPr>
      <w:r>
        <w:t xml:space="preserve">Sudahkah saya menelusuri kepatuhan pengobatan TB pasien secara aktif, bukan menunggu pasien putus obat?</w:t>
      </w:r>
    </w:p>
    <w:p>
      <w:pPr>
        <w:pStyle w:val="ListParagraph"/>
        <w:numPr>
          <w:ilvl w:val="0"/>
          <w:numId w:val="1"/>
        </w:numPr>
        <w:spacing w:after="90"/>
      </w:pPr>
      <w:r>
        <w:t xml:space="preserve">Bagaimana saya memutuskan kapan diare pada anak cukup ditangani di layanan primer dan kapan harus dirujuk?</w:t>
      </w:r>
    </w:p>
    <w:p>
      <w:pPr>
        <w:pStyle w:val="ListParagraph"/>
        <w:numPr>
          <w:ilvl w:val="0"/>
          <w:numId w:val="1"/>
        </w:numPr>
        <w:spacing w:after="90"/>
      </w:pPr>
      <w:r>
        <w:t xml:space="preserve">Apakah saya sudah menerapkan kewaspadaan standar secara konsisten, bukan hanya saat kasus "terlihat menular"?</w:t>
      </w:r>
    </w:p>
    <w:p>
      <w:pPr>
        <w:pStyle w:val="Heading1"/>
        <w:spacing w:after="150" w:before="300"/>
      </w:pPr>
      <w:r>
        <w:t xml:space="preserve">BAB IX — PENUTUP</w:t>
      </w:r>
    </w:p>
    <w:p>
      <w:pPr>
        <w:spacing w:after="160"/>
        <w:jc w:val="both"/>
      </w:pPr>
      <w:r>
        <w:t xml:space="preserve">Pengelolaan penyakit infeksi dan tropis di layanan primer menuntut kewaspadaan klinis terhadap tanda bahaya, pemahaman epidemiologi lokal, dan koordinasi erat dengan program kesehatan masyarakat — menjembatani buku ini dengan Buku Tematik 8 (Kedokteran Komunitas dan Kesehatan Masyarakat).</w:t>
      </w:r>
    </w:p>
    <w:p>
      <w:pPr>
        <w:pStyle w:val="Heading2"/>
        <w:spacing w:after="120" w:before="250"/>
      </w:pPr>
      <w:r>
        <w:t xml:space="preserve">Glosarium</w:t>
      </w:r>
    </w:p>
    <w:p>
      <w:pPr>
        <w:spacing w:after="90"/>
      </w:pPr>
      <w:r>
        <w:rPr>
          <w:b/>
          <w:bCs/>
        </w:rPr>
        <w:t xml:space="preserve">Investigasi Kontak — </w:t>
      </w:r>
      <w:r>
        <w:t xml:space="preserve">Penelusuran dan penapisan kontak erat/serumah pasien penyakit menular tertentu, mis. tuberkulosis.</w:t>
      </w:r>
    </w:p>
    <w:p>
      <w:pPr>
        <w:spacing w:after="90"/>
      </w:pPr>
      <w:r>
        <w:rPr>
          <w:b/>
          <w:bCs/>
        </w:rPr>
        <w:t xml:space="preserve">Warning Signs DBD — </w:t>
      </w:r>
      <w:r>
        <w:t xml:space="preserve">Tanda bahaya yang mengindikasikan risiko perburukan klinis pada demam berdarah dengue.</w:t>
      </w:r>
    </w:p>
    <w:p>
      <w:pPr>
        <w:spacing w:after="90"/>
      </w:pPr>
      <w:r>
        <w:rPr>
          <w:b/>
          <w:bCs/>
        </w:rPr>
        <w:t xml:space="preserve">Rapid Diagnostic Test (RDT) — </w:t>
      </w:r>
      <w:r>
        <w:t xml:space="preserve">Uji diagnostik cepat, mis. untuk deteksi antigen malaria.</w:t>
      </w:r>
    </w:p>
    <w:p>
      <w:pPr>
        <w:spacing w:after="90"/>
      </w:pPr>
      <w:r>
        <w:rPr>
          <w:b/>
          <w:bCs/>
        </w:rPr>
        <w:t xml:space="preserve">Kewaspadaan Standar — </w:t>
      </w:r>
      <w:r>
        <w:t xml:space="preserve">Seperangkat praktik pengendalian infeksi dasar yang diterapkan pada semua pasien tanpa memandang status infeksinya.</w:t>
      </w:r>
    </w:p>
    <w:p>
      <w:pPr>
        <w:spacing w:after="90"/>
      </w:pPr>
      <w:r>
        <w:rPr>
          <w:b/>
          <w:bCs/>
        </w:rPr>
        <w:t xml:space="preserve">Pasien Indeks — </w:t>
      </w:r>
      <w:r>
        <w:t xml:space="preserve">Pasien pertama yang teridentifikasi dalam suatu kasus/klaster penyakit menular, menjadi titik awal investigasi kontak.</w:t>
      </w:r>
    </w:p>
    <w:p>
      <w:pPr>
        <w:pStyle w:val="Heading2"/>
        <w:spacing w:after="120" w:before="250"/>
      </w:pPr>
      <w:r>
        <w:t xml:space="preserve">Daftar Pustaka</w:t>
      </w:r>
    </w:p>
    <w:p>
      <w:pPr>
        <w:spacing w:after="90"/>
        <w:ind w:left="360" w:hanging="360"/>
      </w:pPr>
      <w:r>
        <w:t xml:space="preserve">Konsil Kedokteran Indonesia. Peraturan Konsil Kedokteran Indonesia Nomor 65 Tahun 2019.</w:t>
      </w:r>
    </w:p>
    <w:p>
      <w:pPr>
        <w:spacing w:after="90"/>
        <w:ind w:left="360" w:hanging="360"/>
      </w:pPr>
      <w:r>
        <w:t xml:space="preserve">Catatan: alur diagnosis dan tata laksana penyakit infeksi-tropis dalam buku ini bersifat umum; pembaca disarankan merujuk pedoman program nasional Kementerian Kesehatan RI edisi berlaku sebagai acuan definitif.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2026-07-18T16:20:04.129Z</dcterms:created>
  <dcterms:modified xsi:type="dcterms:W3CDTF">2026-07-18T16:20:04.129Z</dcterms:modified>
</cp:coreProperties>
</file>

<file path=docProps/custom.xml><?xml version="1.0" encoding="utf-8"?>
<Properties xmlns="http://schemas.openxmlformats.org/officeDocument/2006/custom-properties" xmlns:vt="http://schemas.openxmlformats.org/officeDocument/2006/docPropsVTypes"/>
</file>