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6B7280"/>
          <w:sz w:val="18"/>
          <w:szCs w:val="18"/>
        </w:rPr>
        <w:t xml:space="preserve">DOKUMEN B23 · PERPUSTAKAAN DIGITAL ABBA</w:t>
      </w:r>
    </w:p>
    <w:p>
      <w:pPr>
        <w:pStyle w:val="Title"/>
        <w:spacing w:after="120"/>
      </w:pPr>
      <w:r>
        <w:t xml:space="preserve">Kedokteran untuk Masyarakat Rentan dan Termarjinalkan</w:t>
      </w:r>
    </w:p>
    <w:p>
      <w:pPr>
        <w:spacing w:after="300"/>
      </w:pPr>
      <w:r>
        <w:rPr>
          <w:i/>
          <w:iCs/>
          <w:color w:val="5B6478"/>
          <w:sz w:val="20"/>
          <w:szCs w:val="20"/>
        </w:rPr>
        <w:t xml:space="preserve">Dr.dr. H. Budi Siswanto, Sp.OG, Subsp.Obginsos., SH., S.Kom. · 2026</w:t>
      </w:r>
    </w:p>
    <w:p>
      <w:pPr>
        <w:pStyle w:val="Heading1"/>
        <w:spacing w:after="120" w:before="300"/>
      </w:pPr>
      <w:r>
        <w:t xml:space="preserve">BAB I — Kerentanan sebagai Akumulasi Hambatan Berlapis</w:t>
      </w:r>
    </w:p>
    <w:p>
      <w:pPr>
        <w:pStyle w:val="Heading2"/>
        <w:spacing w:after="80" w:before="160"/>
      </w:pPr>
      <w:r>
        <w:t xml:space="preserve">Determinan Sosial dan Ketidakadilan Kesehatan</w:t>
      </w:r>
    </w:p>
    <w:p>
      <w:pPr>
        <w:spacing w:after="120"/>
      </w:pPr>
      <w:r>
        <w:rPr>
          <w:i/>
          <w:iCs/>
          <w:sz w:val="22"/>
          <w:szCs w:val="22"/>
        </w:rPr>
        <w:t xml:space="preserve">WHO menegaskan kesenjangan kesehatan antar kelompok sosial sebagian besar bersifat tidak adil dan dapat dicegah, berakar pada determinan sosial — bukan semata perbedaan biologis.</w:t>
      </w:r>
    </w:p>
    <w:p>
      <w:pPr>
        <w:pStyle w:val="Heading2"/>
        <w:spacing w:after="80" w:before="160"/>
      </w:pPr>
      <w:r>
        <w:t xml:space="preserve">Kerentanan yang Bertumpuk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Kerentanan jarang berdiri sendiri; seorang pasien dapat mengalami kerentanan berlapis, misalnya lansia miskin dengan disabilitas dan tanpa dukungan keluarga. Pendekatan berpusat kesetaraan mensyaratkan dokter secara aktif mengidentifikasi hambatan berlapis ini.</w:t>
      </w:r>
    </w:p>
    <w:p>
      <w:pPr>
        <w:pStyle w:val="Heading1"/>
        <w:spacing w:after="120" w:before="300"/>
      </w:pPr>
      <w:r>
        <w:t xml:space="preserve">BAB II — Layanan bagi Populasi Tunawisma</w:t>
      </w:r>
    </w:p>
    <w:p>
      <w:pPr>
        <w:pStyle w:val="Heading2"/>
        <w:spacing w:after="80" w:before="160"/>
      </w:pPr>
      <w:r>
        <w:t xml:space="preserve">Hambatan Unik Populasi Tanpa Tempat Tinggal Tetap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Populasi tunawisma menghadapi hambatan unik: ketiadaan alamat tetap untuk tindak lanjut, keterbatasan penyimpanan obat, dan prioritas kebutuhan dasar yang sering mengalahkan prioritas kesehatan preventif.</w:t>
      </w:r>
    </w:p>
    <w:p>
      <w:pPr>
        <w:pStyle w:val="Heading2"/>
        <w:spacing w:after="80" w:before="160"/>
      </w:pPr>
      <w:r>
        <w:t xml:space="preserve">Menyesuaikan Regimen Pengobatan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Pendekatan yang realistis menyesuaikan rencana pengobatan dengan keterbatasan ini — misalnya memilih regimen obat dosis tunggal harian dibanding regimen kompleks yang sulit dipertahankan tanpa tempat tinggal stabil.</w:t>
      </w:r>
    </w:p>
    <w:p>
      <w:pPr>
        <w:pStyle w:val="Heading1"/>
        <w:spacing w:after="120" w:before="300"/>
      </w:pPr>
      <w:r>
        <w:t xml:space="preserve">BAB III — Layanan bagi Pekerja Migran dan Kelompok Tanpa Dokumen</w:t>
      </w:r>
    </w:p>
    <w:p>
      <w:pPr>
        <w:pStyle w:val="Heading2"/>
        <w:spacing w:after="80" w:before="160"/>
      </w:pPr>
      <w:r>
        <w:t xml:space="preserve">Kekhawatiran Konsekuensi Administratif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Pekerja migran, termasuk yang berstatus dokumentasi tidak lengkap, sering menghindari layanan kesehatan formal karena kekhawatiran konsekuensi hukum atau administratif, menyebabkan penundaan pencarian pertolongan.</w:t>
      </w:r>
    </w:p>
    <w:p>
      <w:pPr>
        <w:pStyle w:val="Heading2"/>
        <w:spacing w:after="80" w:before="160"/>
      </w:pPr>
      <w:r>
        <w:t xml:space="preserve">Akses Layanan Dasar sebagai Hak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Dokter layanan primer perlu memahami kerangka etis bahwa akses layanan kesehatan dasar merupakan hak yang tidak bergantung pada status dokumentasi, dan menciptakan lingkungan konsultasi yang tidak menghakimi maupun mengancam.</w:t>
      </w:r>
    </w:p>
    <w:p>
      <w:pPr>
        <w:pStyle w:val="Heading1"/>
        <w:spacing w:after="120" w:before="300"/>
      </w:pPr>
      <w:r>
        <w:t xml:space="preserve">BAB IV — Layanan bagi Penyandang Disabilitas</w:t>
      </w:r>
    </w:p>
    <w:p>
      <w:pPr>
        <w:pStyle w:val="Heading2"/>
        <w:spacing w:after="80" w:before="160"/>
      </w:pPr>
      <w:r>
        <w:t xml:space="preserve">Hambatan Fisik, Komunikasi, dan Sikap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Penyandang disabilitas menghadapi hambatan akses fisik, komunikasi, dan sikap — termasuk asumsi kapasitas pengambilan keputusan yang keliru — dalam mengakses layanan kesehatan.</w:t>
      </w:r>
    </w:p>
    <w:p>
      <w:pPr>
        <w:pStyle w:val="Heading2"/>
        <w:spacing w:after="80" w:before="160"/>
      </w:pPr>
      <w:r>
        <w:t xml:space="preserve">Prinsip Pelibatan Langsung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Prinsip 'nothing about us without us' — melibatkan penyandang disabilitas dalam keputusan tentang perawatan mereka sendiri, bukan berkomunikasi eksklusif dengan pendamping/keluarga — merupakan standar layanan yang menghormati otonomi pasien disabilitas.</w:t>
      </w:r>
    </w:p>
    <w:p>
      <w:pPr>
        <w:pStyle w:val="Heading1"/>
        <w:spacing w:after="120" w:before="300"/>
      </w:pPr>
      <w:r>
        <w:t xml:space="preserve">BAB V — Layanan bagi Kelompok Minoritas Gender dan Seksual</w:t>
      </w:r>
    </w:p>
    <w:p>
      <w:pPr>
        <w:pStyle w:val="Heading2"/>
        <w:spacing w:after="80" w:before="160"/>
      </w:pPr>
      <w:r>
        <w:t xml:space="preserve">Pengalaman Diskriminasi dalam Layanan Kesehatan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Kelompok minoritas gender dan seksual sering menghadapi pengalaman diskriminasi atau penghakiman dalam layanan kesehatan yang menyebabkan penundaan atau penghindaran pencarian pertolongan medis.</w:t>
      </w:r>
    </w:p>
    <w:p>
      <w:pPr>
        <w:pStyle w:val="Heading2"/>
        <w:spacing w:after="80" w:before="160"/>
      </w:pPr>
      <w:r>
        <w:t xml:space="preserve">Menciptakan Lingkungan yang Inklusif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Lingkungan konsultasi yang secara eksplisit tidak menghakimi, penggunaan bahasa yang menghormati identitas pasien, dan kompetensi klinis dasar tentang kebutuhan kesehatan spesifik kelompok ini merupakan bagian dari layanan primer yang inklusif.</w:t>
      </w:r>
    </w:p>
    <w:p>
      <w:pPr>
        <w:pStyle w:val="Heading1"/>
        <w:spacing w:after="120" w:before="300"/>
      </w:pPr>
      <w:r>
        <w:t xml:space="preserve">BAB VI — Lansia Tanpa Dukungan Keluarga</w:t>
      </w:r>
    </w:p>
    <w:p>
      <w:pPr>
        <w:pStyle w:val="Heading2"/>
        <w:spacing w:after="80" w:before="160"/>
      </w:pPr>
      <w:r>
        <w:t xml:space="preserve">Risiko Sistem Dukungan yang Rapuh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Lansia yang tinggal sendiri tanpa dukungan keluarga dekat menghadapi risiko lebih tinggi keterlambatan pencarian pertolongan, kepatuhan pengobatan buruk, dan isolasi sosial yang memperburuk kondisi kesehatan mental dan fisik.</w:t>
      </w:r>
    </w:p>
    <w:p>
      <w:pPr>
        <w:pStyle w:val="Heading1"/>
        <w:spacing w:after="120" w:before="300"/>
      </w:pPr>
      <w:r>
        <w:t xml:space="preserve">BAB VII — Membangun Layanan Primer yang Berpusat pada Kesetaraan</w:t>
      </w:r>
    </w:p>
    <w:p>
      <w:pPr>
        <w:pStyle w:val="Heading2"/>
        <w:spacing w:after="80" w:before="160"/>
      </w:pPr>
      <w:r>
        <w:t xml:space="preserve">Penyesuaian Sistematis, Bukan Hanya Niat Baik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Layanan berpusat kesetaraan memerlukan penyesuaian sistematis — jam praktik fleksibel, prosedur pendaftaran yang tidak mensyaratkan dokumentasi berlebihan, dan pelatihan staf tentang sikap tidak menghakimi terhadap seluruh kelompok rentan.</w:t>
      </w:r>
    </w:p>
    <w:p>
      <w:pPr>
        <w:pStyle w:val="Heading1"/>
        <w:spacing w:after="120" w:before="300"/>
      </w:pPr>
      <w:r>
        <w:t xml:space="preserve">BAB VIII — Penjenjangan Capaian Pembelajaran Tahun I–IV</w:t>
      </w:r>
    </w:p>
    <w:p>
      <w:pPr>
        <w:spacing w:after="140"/>
      </w:pPr>
      <w:r>
        <w:rPr>
          <w:sz w:val="22"/>
          <w:szCs w:val="22"/>
        </w:rPr>
        <w:t xml:space="preserve">Penjenjangan berikut merupakan usulan kerangka penahapan berbasis pola umum pendidikan spesialis empat tahun, disesuaikan dengan komponen kompetensi ke-18 pada Tabel 10 Kepkonsil No. HK.01.02/KKI/1318/2026.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Tahun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Fokus Belajar Utama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Tingkat Kemandirian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Capaian yang Diharapkan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</w:t>
            </w:r>
          </w:p>
        </w:tc>
        <w:tc>
          <w:p>
            <w:r>
              <w:rPr>
                <w:sz w:val="19"/>
                <w:szCs w:val="19"/>
              </w:rPr>
              <w:t xml:space="preserve">Mengenali konsep determinan sosial kesehatan dan kerentanan berlapis di bawah observasi.</w:t>
            </w:r>
          </w:p>
        </w:tc>
        <w:tc>
          <w:p>
            <w:r>
              <w:rPr>
                <w:sz w:val="19"/>
                <w:szCs w:val="19"/>
              </w:rPr>
              <w:t xml:space="preserve">Praktik selalu di bawah pengawasan langsung pembimbing klinis.</w:t>
            </w:r>
          </w:p>
        </w:tc>
        <w:tc>
          <w:p>
            <w:r>
              <w:rPr>
                <w:sz w:val="19"/>
                <w:szCs w:val="19"/>
              </w:rPr>
              <w:t xml:space="preserve">Mampu mengidentifikasi hambatan akses spesifik kelompok rentan dengan supervisi penuh.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</w:t>
            </w:r>
          </w:p>
        </w:tc>
        <w:tc>
          <w:p>
            <w:r>
              <w:rPr>
                <w:sz w:val="19"/>
                <w:szCs w:val="19"/>
              </w:rPr>
              <w:t xml:space="preserve">Menerapkan penyesuaian rencana perawatan untuk populasi tunawisma, migran, dan disabilitas dengan bimbingan tidak langsung.</w:t>
            </w:r>
          </w:p>
        </w:tc>
        <w:tc>
          <w:p>
            <w:r>
              <w:rPr>
                <w:sz w:val="19"/>
                <w:szCs w:val="19"/>
              </w:rPr>
              <w:t xml:space="preserve">Supervisi tidak langsung; pembimbing dapat dihubungi sewaktu-waktu.</w:t>
            </w:r>
          </w:p>
        </w:tc>
        <w:tc>
          <w:p>
            <w:r>
              <w:rPr>
                <w:sz w:val="19"/>
                <w:szCs w:val="19"/>
              </w:rPr>
              <w:t xml:space="preserve">Mampu menyusun rencana perawatan yang realistis sesuai keterbatasan sumber daya pasien rentan.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III</w:t>
            </w:r>
          </w:p>
        </w:tc>
        <w:tc>
          <w:p>
            <w:r>
              <w:rPr>
                <w:sz w:val="19"/>
                <w:szCs w:val="19"/>
              </w:rPr>
              <w:t xml:space="preserve">Mengintegrasikan layanan inklusif bagi kelompok minoritas gender-seksual dan lansia tanpa dukungan secara mandiri.</w:t>
            </w:r>
          </w:p>
        </w:tc>
        <w:tc>
          <w:p>
            <w:r>
              <w:rPr>
                <w:sz w:val="19"/>
                <w:szCs w:val="19"/>
              </w:rPr>
              <w:t xml:space="preserve">Mandiri untuk kasus rutin; supervisi insidental untuk kasus kompleks.</w:t>
            </w:r>
          </w:p>
        </w:tc>
        <w:tc>
          <w:p>
            <w:r>
              <w:rPr>
                <w:sz w:val="19"/>
                <w:szCs w:val="19"/>
              </w:rPr>
              <w:t xml:space="preserve">Mampu menciptakan lingkungan konsultasi yang inklusif dan tidak menghakimi bagi seluruh kelompok rentan.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IV</w:t>
            </w:r>
          </w:p>
        </w:tc>
        <w:tc>
          <w:p>
            <w:r>
              <w:rPr>
                <w:sz w:val="19"/>
                <w:szCs w:val="19"/>
              </w:rPr>
              <w:t xml:space="preserve">Membimbing peserta didik junior dan berkontribusi merancang layanan primer berpusat kesetaraan di fasilitas.</w:t>
            </w:r>
          </w:p>
        </w:tc>
        <w:tc>
          <w:p>
            <w:r>
              <w:rPr>
                <w:sz w:val="19"/>
                <w:szCs w:val="19"/>
              </w:rPr>
              <w:t xml:space="preserve">Otonomi penuh, termasuk tanggung jawab mengarahkan peserta didik baru.</w:t>
            </w:r>
          </w:p>
        </w:tc>
        <w:tc>
          <w:p>
            <w:r>
              <w:rPr>
                <w:sz w:val="19"/>
                <w:szCs w:val="19"/>
              </w:rPr>
              <w:t xml:space="preserve">Mampu mengevaluasi dan memperbaiki hambatan sistemik akses layanan di tingkat fasilitas.</w:t>
            </w:r>
          </w:p>
        </w:tc>
      </w:tr>
    </w:tbl>
    <w:p>
      <w:pPr>
        <w:spacing w:after="200"/>
      </w:pPr>
    </w:p>
    <w:p>
      <w:pPr>
        <w:pStyle w:val="Heading1"/>
        <w:spacing w:after="120" w:before="200"/>
      </w:pPr>
      <w:r>
        <w:t xml:space="preserve">BAB IX — Evaluasi Diri dan Pertanyaan Reflektif</w:t>
      </w:r>
    </w:p>
    <w:p>
      <w:pPr>
        <w:spacing w:after="100"/>
      </w:pPr>
      <w:r>
        <w:rPr>
          <w:sz w:val="22"/>
          <w:szCs w:val="22"/>
        </w:rPr>
        <w:t xml:space="preserve">• Apakah saya secara aktif mengidentifikasi hambatan berlapis yang dihadapi pasien rentan, bukan berasumsi?</w:t>
      </w:r>
    </w:p>
    <w:p>
      <w:pPr>
        <w:spacing w:after="100"/>
      </w:pPr>
      <w:r>
        <w:rPr>
          <w:sz w:val="22"/>
          <w:szCs w:val="22"/>
        </w:rPr>
        <w:t xml:space="preserve">• Apakah saya menyesuaikan rencana pengobatan dengan realitas sumber daya pasien tunawisma/miskin?</w:t>
      </w:r>
    </w:p>
    <w:p>
      <w:pPr>
        <w:spacing w:after="100"/>
      </w:pPr>
      <w:r>
        <w:rPr>
          <w:sz w:val="22"/>
          <w:szCs w:val="22"/>
        </w:rPr>
        <w:t xml:space="preserve">• Apakah saya menciptakan lingkungan konsultasi yang aman bagi pekerja migran tanpa dokumen?</w:t>
      </w:r>
    </w:p>
    <w:p>
      <w:pPr>
        <w:spacing w:after="100"/>
      </w:pPr>
      <w:r>
        <w:rPr>
          <w:sz w:val="22"/>
          <w:szCs w:val="22"/>
        </w:rPr>
        <w:t xml:space="preserve">• Apakah saya melibatkan penyandang disabilitas langsung dalam keputusan perawatan mereka sendiri?</w:t>
      </w:r>
    </w:p>
    <w:p>
      <w:pPr>
        <w:spacing w:after="100"/>
      </w:pPr>
      <w:r>
        <w:rPr>
          <w:sz w:val="22"/>
          <w:szCs w:val="22"/>
        </w:rPr>
        <w:t xml:space="preserve">• Apakah saya bersikap tidak menghakimi terhadap pasien dari kelompok minoritas gender-seksual?</w:t>
      </w:r>
    </w:p>
    <w:p>
      <w:pPr>
        <w:pStyle w:val="Heading1"/>
        <w:spacing w:after="120" w:before="300"/>
      </w:pPr>
      <w:r>
        <w:t xml:space="preserve">BAB X — Penutup</w:t>
      </w:r>
    </w:p>
    <w:p>
      <w:pPr>
        <w:spacing w:after="140"/>
      </w:pPr>
      <w:r>
        <w:rPr>
          <w:sz w:val="22"/>
          <w:szCs w:val="22"/>
        </w:rPr>
        <w:t xml:space="preserve">Kedokteran untuk masyarakat rentan menutup rangkaian buku tematik dengan menegaskan prinsip inti kedokteran keluarga: layanan yang adil dan menghormati martabat setiap pasien.</w:t>
      </w:r>
    </w:p>
    <w:p>
      <w:pPr>
        <w:spacing w:after="200"/>
      </w:pPr>
      <w:r>
        <w:rPr>
          <w:sz w:val="22"/>
          <w:szCs w:val="22"/>
        </w:rPr>
        <w:t xml:space="preserve">Buku ini disusun merujuk pada standar nasional (Tabel 10 Kepkonsil No. HK.01.02/KKI/1318/2026, komponen kompetensi ke-18) dan standar internasional dari WHO — Social Determinants of Health / Health Equity (https://www.who.int/teams/social-determinants-of-health/equity-and-health/world-report-on-social-determinants-of-health-equity).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Glosarium</w:t>
      </w:r>
    </w:p>
    <w:p>
      <w:pPr>
        <w:spacing w:after="20"/>
      </w:pPr>
      <w:r>
        <w:rPr>
          <w:b/>
          <w:bCs/>
          <w:sz w:val="21"/>
          <w:szCs w:val="21"/>
        </w:rPr>
        <w:t xml:space="preserve">Equity-centered care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Pendekatan layanan yang secara aktif mengidentifikasi dan mengatasi hambatan berlapis akibat determinan sosial kesehatan.</w:t>
      </w:r>
    </w:p>
    <w:p>
      <w:pPr>
        <w:spacing w:after="20"/>
      </w:pPr>
      <w:r>
        <w:rPr>
          <w:b/>
          <w:bCs/>
          <w:sz w:val="21"/>
          <w:szCs w:val="21"/>
        </w:rPr>
        <w:t xml:space="preserve">Kerentanan berlapis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Akumulasi lebih dari satu faktor kerentanan sosial-ekonomi yang dialami satu individu secara bersamaan.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Daftar Pustaka</w:t>
      </w:r>
    </w:p>
    <w:p>
      <w:pPr>
        <w:spacing w:after="80"/>
      </w:pPr>
      <w:r>
        <w:rPr>
          <w:sz w:val="20"/>
          <w:szCs w:val="20"/>
        </w:rPr>
        <w:t xml:space="preserve">1. World Health Organization. World Report on Social Determinants of Health Equity. https://www.who.int/teams/social-determinants-of-health/equity-and-health/world-report-on-social-determinants-of-health-equity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2026-08-27T03:32:34.857Z</dcterms:created>
  <dcterms:modified xsi:type="dcterms:W3CDTF">2026-08-27T03:32:34.857Z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