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color w:val="6B7280"/>
          <w:sz w:val="18"/>
          <w:szCs w:val="18"/>
        </w:rPr>
        <w:t xml:space="preserve">DOKUMEN B21 · PERPUSTAKAAN DIGITAL ABBA</w:t>
      </w:r>
    </w:p>
    <w:p>
      <w:pPr>
        <w:pStyle w:val="Title"/>
        <w:spacing w:after="120"/>
      </w:pPr>
      <w:r>
        <w:t xml:space="preserve">Kedokteran Pedesaan: Praktik Layanan Primer di Wilayah Terpencil</w:t>
      </w:r>
    </w:p>
    <w:p>
      <w:pPr>
        <w:spacing w:after="300"/>
      </w:pPr>
      <w:r>
        <w:rPr>
          <w:i/>
          <w:iCs/>
          <w:color w:val="5B6478"/>
          <w:sz w:val="20"/>
          <w:szCs w:val="20"/>
        </w:rPr>
        <w:t xml:space="preserve">Dr.dr. H. Budi Siswanto, Sp.OG, Subsp.Obginsos., SH., S.Kom. · 2026</w:t>
      </w:r>
    </w:p>
    <w:p>
      <w:pPr>
        <w:pStyle w:val="Heading1"/>
        <w:spacing w:after="120" w:before="300"/>
      </w:pPr>
      <w:r>
        <w:t xml:space="preserve">BAB I — Generalisme Mendalam sebagai Tuntutan Praktik Pedesaan</w:t>
      </w:r>
    </w:p>
    <w:p>
      <w:pPr>
        <w:pStyle w:val="Heading2"/>
        <w:spacing w:after="80" w:before="160"/>
      </w:pPr>
      <w:r>
        <w:t xml:space="preserve">Extended Generalism</w:t>
      </w:r>
    </w:p>
    <w:p>
      <w:pPr>
        <w:spacing w:after="120"/>
      </w:pPr>
      <w:r>
        <w:rPr>
          <w:i/>
          <w:iCs/>
          <w:sz w:val="22"/>
          <w:szCs w:val="22"/>
        </w:rPr>
        <w:t xml:space="preserve">Rural WONCA menegaskan dokter pedesaan memerlukan cakupan kompetensi klinis lebih luas dibanding rekan perkotaan karena jarak dan waktu tempuh ke fasilitas rujukan yang jauh lebih besar — kondisi yang menuntut generalisme mendalam, bukan sekadar generalisme dasar.</w:t>
      </w:r>
    </w:p>
    <w:p>
      <w:pPr>
        <w:pStyle w:val="Heading2"/>
        <w:spacing w:after="80" w:before="160"/>
      </w:pPr>
      <w:r>
        <w:t xml:space="preserve">Cakupan Keterampilan yang Diperluas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Extended generalism mencakup keterampilan yang di perkotaan biasa dirujuk ke spesialis: penanganan kegawatdaruratan obstetri dasar, prosedur bedah minor lebih luas, dan interpretasi diagnostik penunjang yang di kota biasa diserahkan ke spesialis radiologi/laboratorium.</w:t>
      </w:r>
    </w:p>
    <w:p>
      <w:pPr>
        <w:pStyle w:val="Heading1"/>
        <w:spacing w:after="120" w:before="300"/>
      </w:pPr>
      <w:r>
        <w:t xml:space="preserve">BAB II — Keputusan Klinis dengan Sumber Daya Terbatas</w:t>
      </w:r>
    </w:p>
    <w:p>
      <w:pPr>
        <w:pStyle w:val="Heading2"/>
        <w:spacing w:after="80" w:before="160"/>
      </w:pPr>
      <w:r>
        <w:t xml:space="preserve">Mengasah Clinical Reasoning Tanpa Teknologi Canggih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Keterbatasan akses pemeriksaan penunjang canggih dan obat-obatan tertentu di wilayah terpencil menuntut dokter pedesaan mengasah keterampilan clinical reasoning berbasis anamnesis dan pemeriksaan fisik yang lebih tajam.</w:t>
      </w:r>
    </w:p>
    <w:p>
      <w:pPr>
        <w:pStyle w:val="Heading2"/>
        <w:spacing w:after="80" w:before="160"/>
      </w:pPr>
      <w:r>
        <w:t xml:space="preserve">Prinsip Safety Netting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Prinsip safety netting — memberikan instruksi jelas kepada pasien tentang tanda bahaya yang memerlukan tindakan segera meski diagnosis pasti belum dapat ditegakkan — menjadi keterampilan kompensasi penting saat kepastian diagnostik tidak dapat dicapai secepat di kota.</w:t>
      </w:r>
    </w:p>
    <w:p>
      <w:pPr>
        <w:pStyle w:val="Heading1"/>
        <w:spacing w:after="120" w:before="300"/>
      </w:pPr>
      <w:r>
        <w:t xml:space="preserve">BAB III — Manajemen Rujukan Jarak Jauh</w:t>
      </w:r>
    </w:p>
    <w:p>
      <w:pPr>
        <w:pStyle w:val="Heading2"/>
        <w:spacing w:after="80" w:before="160"/>
      </w:pPr>
      <w:r>
        <w:t xml:space="preserve">Perencanaan Rujukan Proaktif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Keputusan merujuk di wilayah pedesaan memerlukan pertimbangan berbeda dari perkotaan — waktu tempuh yang panjang dan keterbatasan transportasi darurat memerlukan perencanaan rujukan yang lebih proaktif dan margin keamanan waktu yang lebih besar.</w:t>
      </w:r>
    </w:p>
    <w:p>
      <w:pPr>
        <w:pStyle w:val="Heading2"/>
        <w:spacing w:after="80" w:before="160"/>
      </w:pPr>
      <w:r>
        <w:t xml:space="preserve">Stabilisasi Pra-Rujukan Intensif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Stabilisasi pra-rujukan yang lebih intensif menjadi kompetensi krusial, termasuk kemampuan mempertahankan kestabilan pasien selama transportasi jarak jauh.</w:t>
      </w:r>
    </w:p>
    <w:p>
      <w:pPr>
        <w:pStyle w:val="Heading1"/>
        <w:spacing w:after="120" w:before="300"/>
      </w:pPr>
      <w:r>
        <w:t xml:space="preserve">BAB IV — Isolasi Profesional dan Dukungan Sejawat Jarak Jauh</w:t>
      </w:r>
    </w:p>
    <w:p>
      <w:pPr>
        <w:pStyle w:val="Heading2"/>
        <w:spacing w:after="80" w:before="160"/>
      </w:pPr>
      <w:r>
        <w:t xml:space="preserve">Tantangan Isolasi Profesional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Dokter pedesaan sering menghadapi isolasi profesional — keterbatasan akses diskusi kasus dengan sejawat atau spesialis secara langsung, yang dapat memengaruhi kepercayaan diri klinis dan risiko burnout.</w:t>
      </w:r>
    </w:p>
    <w:p>
      <w:pPr>
        <w:pStyle w:val="Heading2"/>
        <w:spacing w:after="80" w:before="160"/>
      </w:pPr>
      <w:r>
        <w:t xml:space="preserve">Peran Telemedicine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Telemedicine dan konsultasi jarak jauh dengan spesialis di pusat rujukan menjadi jembatan penting mengurangi isolasi profesional dan mendukung keputusan klinis kompleks, meski dengan keterbatasan bandwidth di wilayah tertentu.</w:t>
      </w:r>
    </w:p>
    <w:p>
      <w:pPr>
        <w:pStyle w:val="Heading1"/>
        <w:spacing w:after="120" w:before="300"/>
      </w:pPr>
      <w:r>
        <w:t xml:space="preserve">BAB V — Peran Ganda Dokter Pedesaan dalam Komunitas</w:t>
      </w:r>
    </w:p>
    <w:p>
      <w:pPr>
        <w:pStyle w:val="Heading2"/>
        <w:spacing w:after="80" w:before="160"/>
      </w:pPr>
      <w:r>
        <w:t xml:space="preserve">Menjadi Figur Publik yang Dipercaya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Dokter pedesaan sering menjalankan peran ganda yang jarang dialami rekan perkotaan — dikenal secara personal oleh hampir seluruh komunitas, menjadi figur publik yang dipercaya di luar konteks klinis murni.</w:t>
      </w:r>
    </w:p>
    <w:p>
      <w:pPr>
        <w:pStyle w:val="Heading2"/>
        <w:spacing w:after="80" w:before="160"/>
      </w:pPr>
      <w:r>
        <w:t xml:space="preserve">Menjaga Batas Profesional-Personal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Kepercayaan komunitas yang mendalam ini merupakan aset terapeutik unik namun juga memerlukan kesadaran etis khusus tentang kerahasiaan pasien di lingkungan sosial yang saling mengenal erat.</w:t>
      </w:r>
    </w:p>
    <w:p>
      <w:pPr>
        <w:pStyle w:val="Heading1"/>
        <w:spacing w:after="120" w:before="300"/>
      </w:pPr>
      <w:r>
        <w:t xml:space="preserve">BAB VI — Adaptasi Budaya dan Kearifan Lokal Masyarakat Pedesaan</w:t>
      </w:r>
    </w:p>
    <w:p>
      <w:pPr>
        <w:pStyle w:val="Heading2"/>
        <w:spacing w:after="80" w:before="160"/>
      </w:pPr>
      <w:r>
        <w:t xml:space="preserve">Memahami Struktur Sosial Setempat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Praktik pedesaan menuntut pemahaman mendalam terhadap struktur sosial, kearifan lokal, dan sistem kepercayaan kesehatan tradisional masyarakat setempat.</w:t>
      </w:r>
    </w:p>
    <w:p>
      <w:pPr>
        <w:pStyle w:val="Heading2"/>
        <w:spacing w:after="80" w:before="160"/>
      </w:pPr>
      <w:r>
        <w:t xml:space="preserve">Kolaborasi dengan Praktisi Tradisional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Kolaborasi yang menghormati praktisi kesehatan tradisional setempat dapat memperkuat jangkauan dan penerimaan layanan kesehatan formal di komunitas pedesaan.</w:t>
      </w:r>
    </w:p>
    <w:p>
      <w:pPr>
        <w:pStyle w:val="Heading1"/>
        <w:spacing w:after="120" w:before="300"/>
      </w:pPr>
      <w:r>
        <w:t xml:space="preserve">BAB VII — Keberlanjutan Karier dan Pencegahan Burnout di Pedesaan</w:t>
      </w:r>
    </w:p>
    <w:p>
      <w:pPr>
        <w:pStyle w:val="Heading2"/>
        <w:spacing w:after="80" w:before="160"/>
      </w:pPr>
      <w:r>
        <w:t xml:space="preserve">Tantangan Retensi Dokter Pedesaan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Retensi dokter di wilayah pedesaan merupakan tantangan yang dikenal luas dalam sistem kesehatan berbagai negara — beban kerja tinggi dan isolasi sosial-profesional berkontribusi terhadap tingginya turnover dokter pedesaan.</w:t>
      </w:r>
    </w:p>
    <w:p>
      <w:pPr>
        <w:pStyle w:val="Heading2"/>
        <w:spacing w:after="80" w:before="160"/>
      </w:pPr>
      <w:r>
        <w:t xml:space="preserve">Strategi Keberlanjutan Karier Pribadi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Strategi keberlanjutan karier pribadi — jaringan dukungan sejawat jarak jauh, batas waktu kerja yang realistis, dan perencanaan pengembangan profesional berkelanjutan — perlu menjadi perhatian eksplisit, bukan diabaikan hingga terjadi burnout.</w:t>
      </w:r>
    </w:p>
    <w:p>
      <w:pPr>
        <w:pStyle w:val="Heading1"/>
        <w:spacing w:after="120" w:before="300"/>
      </w:pPr>
      <w:r>
        <w:t xml:space="preserve">BAB VIII — Penjenjangan Capaian Pembelajaran Tahun I–IV</w:t>
      </w:r>
    </w:p>
    <w:p>
      <w:pPr>
        <w:spacing w:after="140"/>
      </w:pPr>
      <w:r>
        <w:rPr>
          <w:sz w:val="22"/>
          <w:szCs w:val="22"/>
        </w:rPr>
        <w:t xml:space="preserve">Penjenjangan berikut merupakan usulan kerangka penahapan berbasis pola umum pendidikan spesialis empat tahun, disesuaikan dengan komponen kompetensi ke-15 pada Tabel 10 Kepkonsil No. HK.01.02/KKI/1318/2026.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Tahun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Fokus Belajar Utama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Tingkat Kemandirian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Capaian yang Diharapkan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</w:t>
            </w:r>
          </w:p>
        </w:tc>
        <w:tc>
          <w:p>
            <w:r>
              <w:rPr>
                <w:sz w:val="19"/>
                <w:szCs w:val="19"/>
              </w:rPr>
              <w:t xml:space="preserve">Mengenali prinsip extended generalism dan mempraktikkan clinical reasoning berbasis anamnesis-pemeriksaan fisik di bawah observasi.</w:t>
            </w:r>
          </w:p>
        </w:tc>
        <w:tc>
          <w:p>
            <w:r>
              <w:rPr>
                <w:sz w:val="19"/>
                <w:szCs w:val="19"/>
              </w:rPr>
              <w:t xml:space="preserve">Didampingi penuh oleh pembimbing pada setiap tindakan.</w:t>
            </w:r>
          </w:p>
        </w:tc>
        <w:tc>
          <w:p>
            <w:r>
              <w:rPr>
                <w:sz w:val="19"/>
                <w:szCs w:val="19"/>
              </w:rPr>
              <w:t xml:space="preserve">Mampu melakukan penilaian klinis dengan sumber daya terbatas dengan supervisi penuh.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II</w:t>
            </w:r>
          </w:p>
        </w:tc>
        <w:tc>
          <w:p>
            <w:r>
              <w:rPr>
                <w:sz w:val="19"/>
                <w:szCs w:val="19"/>
              </w:rPr>
              <w:t xml:space="preserve">Menerapkan safety netting dan stabilisasi pra-rujukan jarak jauh dengan bimbingan tidak langsung.</w:t>
            </w:r>
          </w:p>
        </w:tc>
        <w:tc>
          <w:p>
            <w:r>
              <w:rPr>
                <w:sz w:val="19"/>
                <w:szCs w:val="19"/>
              </w:rPr>
              <w:t xml:space="preserve">Bimbingan tidak langsung, dengan akses konsultasi cepat.</w:t>
            </w:r>
          </w:p>
        </w:tc>
        <w:tc>
          <w:p>
            <w:r>
              <w:rPr>
                <w:sz w:val="19"/>
                <w:szCs w:val="19"/>
              </w:rPr>
              <w:t xml:space="preserve">Mampu menyusun rencana rujukan proaktif dengan mempertimbangkan keterbatasan transportasi.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III</w:t>
            </w:r>
          </w:p>
        </w:tc>
        <w:tc>
          <w:p>
            <w:r>
              <w:rPr>
                <w:sz w:val="19"/>
                <w:szCs w:val="19"/>
              </w:rPr>
              <w:t xml:space="preserve">Mengintegrasikan peran ganda komunitas dan adaptasi budaya lokal secara mandiri.</w:t>
            </w:r>
          </w:p>
        </w:tc>
        <w:tc>
          <w:p>
            <w:r>
              <w:rPr>
                <w:sz w:val="19"/>
                <w:szCs w:val="19"/>
              </w:rPr>
              <w:t xml:space="preserve">Bekerja mandiri, supervisi hanya sesekali atau bila diperlukan.</w:t>
            </w:r>
          </w:p>
        </w:tc>
        <w:tc>
          <w:p>
            <w:r>
              <w:rPr>
                <w:sz w:val="19"/>
                <w:szCs w:val="19"/>
              </w:rPr>
              <w:t xml:space="preserve">Mampu menjaga batas profesional-personal sambil membangun kepercayaan komunitas mendalam.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IV</w:t>
            </w:r>
          </w:p>
        </w:tc>
        <w:tc>
          <w:p>
            <w:r>
              <w:rPr>
                <w:sz w:val="19"/>
                <w:szCs w:val="19"/>
              </w:rPr>
              <w:t xml:space="preserve">Membimbing peserta didik junior dalam praktik pedesaan; menjadi rujukan internal wahana.</w:t>
            </w:r>
          </w:p>
        </w:tc>
        <w:tc>
          <w:p>
            <w:r>
              <w:rPr>
                <w:sz w:val="19"/>
                <w:szCs w:val="19"/>
              </w:rPr>
              <w:t xml:space="preserve">Sepenuhnya mandiri sekaligus membimbing rekan yang lebih junior.</w:t>
            </w:r>
          </w:p>
        </w:tc>
        <w:tc>
          <w:p>
            <w:r>
              <w:rPr>
                <w:sz w:val="19"/>
                <w:szCs w:val="19"/>
              </w:rPr>
              <w:t xml:space="preserve">Mampu merancang strategi keberlanjutan karier dan pencegahan burnout untuk tim pedesaan.</w:t>
            </w:r>
          </w:p>
        </w:tc>
      </w:tr>
    </w:tbl>
    <w:p>
      <w:pPr>
        <w:spacing w:after="200"/>
      </w:pPr>
    </w:p>
    <w:p>
      <w:pPr>
        <w:pStyle w:val="Heading1"/>
        <w:spacing w:after="120" w:before="200"/>
      </w:pPr>
      <w:r>
        <w:t xml:space="preserve">BAB IX — Evaluasi Diri dan Pertanyaan Reflektif</w:t>
      </w:r>
    </w:p>
    <w:p>
      <w:pPr>
        <w:spacing w:after="100"/>
      </w:pPr>
      <w:r>
        <w:rPr>
          <w:sz w:val="22"/>
          <w:szCs w:val="22"/>
        </w:rPr>
        <w:t xml:space="preserve">• Apakah saya memiliki kompetensi extended generalism yang memadai untuk konteks pedesaan tempat saya bertugas?</w:t>
      </w:r>
    </w:p>
    <w:p>
      <w:pPr>
        <w:spacing w:after="100"/>
      </w:pPr>
      <w:r>
        <w:rPr>
          <w:sz w:val="22"/>
          <w:szCs w:val="22"/>
        </w:rPr>
        <w:t xml:space="preserve">• Apakah saya menerapkan prinsip safety netting saat kepastian diagnostik terbatas?</w:t>
      </w:r>
    </w:p>
    <w:p>
      <w:pPr>
        <w:spacing w:after="100"/>
      </w:pPr>
      <w:r>
        <w:rPr>
          <w:sz w:val="22"/>
          <w:szCs w:val="22"/>
        </w:rPr>
        <w:t xml:space="preserve">• Apakah saya menyusun rencana rujukan dengan margin keamanan waktu yang memadai?</w:t>
      </w:r>
    </w:p>
    <w:p>
      <w:pPr>
        <w:spacing w:after="100"/>
      </w:pPr>
      <w:r>
        <w:rPr>
          <w:sz w:val="22"/>
          <w:szCs w:val="22"/>
        </w:rPr>
        <w:t xml:space="preserve">• Apakah saya memiliki jaringan dukungan sejawat jarak jauh untuk mengurangi isolasi profesional?</w:t>
      </w:r>
    </w:p>
    <w:p>
      <w:pPr>
        <w:spacing w:after="100"/>
      </w:pPr>
      <w:r>
        <w:rPr>
          <w:sz w:val="22"/>
          <w:szCs w:val="22"/>
        </w:rPr>
        <w:t xml:space="preserve">• Apakah saya secara sadar menjaga batas profesional-personal di komunitas kecil?</w:t>
      </w:r>
    </w:p>
    <w:p>
      <w:pPr>
        <w:pStyle w:val="Heading1"/>
        <w:spacing w:after="120" w:before="300"/>
      </w:pPr>
      <w:r>
        <w:t xml:space="preserve">BAB X — Penutup</w:t>
      </w:r>
    </w:p>
    <w:p>
      <w:pPr>
        <w:spacing w:after="140"/>
      </w:pPr>
      <w:r>
        <w:rPr>
          <w:sz w:val="22"/>
          <w:szCs w:val="22"/>
        </w:rPr>
        <w:t xml:space="preserve">Kedokteran pedesaan menuntut kompetensi yang berbeda secara kualitatif, bukan hanya kuantitatif, dari praktik perkotaan. Buku ini melengkapi B7 dan B9 dengan konteks keterbatasan sumber daya yang khas pedesaan.</w:t>
      </w:r>
    </w:p>
    <w:p>
      <w:pPr>
        <w:spacing w:after="200"/>
      </w:pPr>
      <w:r>
        <w:rPr>
          <w:sz w:val="22"/>
          <w:szCs w:val="22"/>
        </w:rPr>
        <w:t xml:space="preserve">Buku ini disusun merujuk pada standar nasional (Tabel 10 Kepkonsil No. HK.01.02/KKI/1318/2026, komponen kompetensi ke-15) dan standar internasional dari WONCA Working Party on Rural Practice (Rural WONCA) (https://ruralwonca.org/).</w:t>
      </w:r>
    </w:p>
    <w:p>
      <w:pPr>
        <w:spacing w:after="100" w:before="100"/>
      </w:pPr>
      <w:r>
        <w:rPr>
          <w:b/>
          <w:bCs/>
          <w:color w:val="1c2749"/>
          <w:sz w:val="24"/>
          <w:szCs w:val="24"/>
        </w:rPr>
        <w:t xml:space="preserve">Glosarium</w:t>
      </w:r>
    </w:p>
    <w:p>
      <w:pPr>
        <w:spacing w:after="20"/>
      </w:pPr>
      <w:r>
        <w:rPr>
          <w:b/>
          <w:bCs/>
          <w:sz w:val="21"/>
          <w:szCs w:val="21"/>
        </w:rPr>
        <w:t xml:space="preserve">Extended generalism</w:t>
      </w:r>
    </w:p>
    <w:p>
      <w:pPr>
        <w:spacing w:after="100"/>
      </w:pPr>
      <w:r>
        <w:rPr>
          <w:color w:val="374151"/>
          <w:sz w:val="20"/>
          <w:szCs w:val="20"/>
        </w:rPr>
        <w:t xml:space="preserve">Cakupan kompetensi klinis yang lebih luas dari generalisme dasar, dituntut oleh keterbatasan akses rujukan di wilayah terpencil.</w:t>
      </w:r>
    </w:p>
    <w:p>
      <w:pPr>
        <w:spacing w:after="20"/>
      </w:pPr>
      <w:r>
        <w:rPr>
          <w:b/>
          <w:bCs/>
          <w:sz w:val="21"/>
          <w:szCs w:val="21"/>
        </w:rPr>
        <w:t xml:space="preserve">Safety netting</w:t>
      </w:r>
    </w:p>
    <w:p>
      <w:pPr>
        <w:spacing w:after="100"/>
      </w:pPr>
      <w:r>
        <w:rPr>
          <w:color w:val="374151"/>
          <w:sz w:val="20"/>
          <w:szCs w:val="20"/>
        </w:rPr>
        <w:t xml:space="preserve">Pemberian instruksi jelas tentang tanda bahaya yang memerlukan tindakan segera meski diagnosis pasti belum dapat ditegakkan.</w:t>
      </w:r>
    </w:p>
    <w:p>
      <w:pPr>
        <w:spacing w:after="100" w:before="100"/>
      </w:pPr>
      <w:r>
        <w:rPr>
          <w:b/>
          <w:bCs/>
          <w:color w:val="1c2749"/>
          <w:sz w:val="24"/>
          <w:szCs w:val="24"/>
        </w:rPr>
        <w:t xml:space="preserve">Daftar Pustaka</w:t>
      </w:r>
    </w:p>
    <w:p>
      <w:pPr>
        <w:spacing w:after="80"/>
      </w:pPr>
      <w:r>
        <w:rPr>
          <w:sz w:val="20"/>
          <w:szCs w:val="20"/>
        </w:rPr>
        <w:t xml:space="preserve">1. WONCA Working Party on Rural Practice. https://ruralwonca.org/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2026-08-27T03:32:34.801Z</dcterms:created>
  <dcterms:modified xsi:type="dcterms:W3CDTF">2026-08-27T03:32:34.801Z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