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2 dari Klaster Digital — Ekosistem Buku Pendidikan Dokter Spesialis Kedokteran Keluarga Layanan Primer (SpKKLP)</w:t>
      </w:r>
    </w:p>
    <w:p>
      <w:pPr>
        <w:spacing w:after="200"/>
      </w:pPr>
    </w:p>
    <w:p>
      <w:pPr>
        <w:jc w:val="center"/>
      </w:pPr>
      <w:r>
        <w:rPr>
          <w:b/>
          <w:bCs/>
          <w:sz w:val="36"/>
          <w:szCs w:val="36"/>
        </w:rPr>
        <w:t xml:space="preserve">Pengelolaan Penyakit Kardiovaskular dan Metabolik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BEBAN PENYAKIT KARDIOVASKULAR DAN METABOLIK DI LAYANAN PRIMER</w:t>
      </w:r>
    </w:p>
    <w:p>
      <w:pPr>
        <w:spacing w:after="160" w:before="40"/>
        <w:jc w:val="both"/>
      </w:pPr>
      <w:r>
        <w:rPr>
          <w:i/>
          <w:iCs/>
          <w:color w:val="2C3A64"/>
          <w:sz w:val="24"/>
          <w:szCs w:val="24"/>
        </w:rPr>
        <w:t xml:space="preserve">Setiap hari, sebagian besar ruang praktik layanan primer di Indonesia dipenuhi pasien dengan satu benang merah yang sama: tekanan darah tinggi, gula darah tinggi, atau kolesterol tinggi — sering ketiganya sekaligus pada satu pasien. Bab ini membuka mengapa kelompok penyakit inilah yang paling menentukan mutu layanan seorang dokter keluarga.</w:t>
      </w:r>
    </w:p>
    <w:p>
      <w:pPr>
        <w:spacing w:after="160"/>
        <w:jc w:val="both"/>
      </w:pPr>
      <w:r>
        <w:t xml:space="preserve">Penyakit kardiovaskular dan metabolik — utamanya hipertensi, diabetes melitus tipe 2, dislipidemia, dan obesitas — merupakan kelompok penyakit tidak menular dengan beban terbesar yang ditangani di fasilitas kesehatan tingkat pertama Indonesia. Buku ini membahas kelompok penyakit tersebut sebagai bagian dari Area Kompetensi g, dengan tetap menerapkan pendekatan holistik dan berpusat pada pasien yang dibangun pada Buku Tematik 1 (B1).</w:t>
      </w:r>
    </w:p>
    <w:p>
      <w:pPr>
        <w:pStyle w:val="Heading2"/>
        <w:spacing w:after="120" w:before="250"/>
      </w:pPr>
      <w:r>
        <w:t xml:space="preserve">A. Mengapa Pendekatan Berkesinambungan Diperlukan</w:t>
      </w:r>
    </w:p>
    <w:p>
      <w:pPr>
        <w:spacing w:after="160"/>
        <w:jc w:val="both"/>
      </w:pPr>
      <w:r>
        <w:t xml:space="preserve">Ciri khas pengelolaan penyakit kronik di layanan primer adalah sifatnya yang berkesinambungan: bukan episode tunggal, melainkan pemantauan jangka panjang yang melibatkan pasien, keluarga, dan sistem rujukan berjenjang bila diperlukan. Model perawatan penyakit kronik (Chronic Care Model) menekankan enam elemen yang saling terkait: dukungan swakelola pasien, desain sistem pelayanan, dukungan keputusan klinis, sistem informasi klinis, sumber daya komunitas, dan organisasi layanan kesehatan.</w:t>
      </w:r>
    </w:p>
    <w:p>
      <w:pPr>
        <w:pBdr>
          <w:left w:val="single" w:color="A9812F" w:sz="24"/>
        </w:pBdr>
        <w:shd w:fill="FBEFD9" w:val="clear"/>
        <w:spacing w:after="200" w:before="100"/>
        <w:ind w:left="200"/>
      </w:pPr>
      <w:r>
        <w:rPr>
          <w:b/>
          <w:bCs/>
          <w:color w:val="8A6410"/>
        </w:rPr>
        <w:t xml:space="preserve">⚠ TINJAU TENAGA KESEHATAN — </w:t>
      </w:r>
      <w:r>
        <w:rPr>
          <w:i/>
          <w:iCs/>
        </w:rPr>
        <w:t xml:space="preserve">seluruh ambang diagnostik, target terapi, dan algoritma tata laksana pada bab-bab berikut wajib ditinjau ulang oleh tenaga kesehatan/pembimbing klinis berwenang dan disesuaikan dengan pedoman nasional terbaru — PERKENI, InaSH, dan PERKI — sebelum dipakai sebagai acuan tata laksana definitif. Rincian resmi Lampiran V Perkonsil 65/2019 (per 18 Juli 2026 sudah dapat ditelusuri sebagai teks) memuat tabel Sistem Kardiovaskular secara eksplisit, namun struktur kolomnya rentan salah baca saat diekstraksi menjadi teks datar sehingga angka tingkat kemampuan presisi per penyakit belum diverifikasi baris per baris dan tidak dikutip di buku ini. Topik metabolik (diabetes, dislipidemia, obesitas) tidak termasuk salah satu dari delapan sistem organ yang ditabulasi eksplisit di Lampiran V — sesuai pernyataan Lampiran IV, topik ini mengikuti Standar Kompetensi Dokter Indonesia (SKDI), dokumen terpisah yang belum tersedia dalam ekosistem ini. Lihat Buku Utama (U0) Bab IX bagian C untuk definisi resmi tingkat kemampuan.</w:t>
      </w:r>
    </w:p>
    <w:p>
      <w:pPr>
        <w:pStyle w:val="Heading1"/>
        <w:spacing w:after="150" w:before="300"/>
      </w:pPr>
      <w:r>
        <w:t xml:space="preserve">BAB II — HIPERTENSI DI LAYANAN PRIMER</w:t>
      </w:r>
    </w:p>
    <w:p>
      <w:pPr>
        <w:spacing w:after="160" w:before="40"/>
        <w:jc w:val="both"/>
      </w:pPr>
      <w:r>
        <w:rPr>
          <w:i/>
          <w:iCs/>
          <w:color w:val="2C3A64"/>
          <w:sz w:val="24"/>
          <w:szCs w:val="24"/>
        </w:rPr>
        <w:t xml:space="preserve">Hipertensi dijuluki "pembunuh diam-diam" bukan tanpa alasan — kebanyakan pasiennya merasa sehat-sehat saja sampai suatu hari terjadi stroke. Tugas dokter keluarga adalah menemukannya sebelum hari itu tiba.</w:t>
      </w:r>
    </w:p>
    <w:p>
      <w:pPr>
        <w:pStyle w:val="Heading2"/>
        <w:spacing w:after="120" w:before="250"/>
      </w:pPr>
      <w:r>
        <w:t xml:space="preserve">A. Penapisan dan Penegakan Diagnosis</w:t>
      </w:r>
    </w:p>
    <w:p>
      <w:pPr>
        <w:spacing w:after="160"/>
        <w:jc w:val="both"/>
      </w:pPr>
      <w:r>
        <w:t xml:space="preserve">Pendekatan kedokteran keluarga menekankan penapisan aktif pada populasi berisiko, penegakan diagnosis melalui pengukuran berulang sesuai standar, penelusuran kemungkinan hipertensi sekunder pada kasus tertentu, serta edukasi modifikasi gaya hidup sebagai fondasi tata laksana sebelum maupun bersamaan dengan terapi farmakologis.</w:t>
      </w:r>
    </w:p>
    <w:p>
      <w:pPr>
        <w:pStyle w:val="ListParagraph"/>
        <w:numPr>
          <w:ilvl w:val="0"/>
          <w:numId w:val="1"/>
        </w:numPr>
        <w:spacing w:after="90"/>
      </w:pPr>
      <w:r>
        <w:t xml:space="preserve">Penapisan tekanan darah rutin pada setiap kunjungan dewasa, terlepas dari keluhan utama.</w:t>
      </w:r>
    </w:p>
    <w:p>
      <w:pPr>
        <w:pStyle w:val="ListParagraph"/>
        <w:numPr>
          <w:ilvl w:val="0"/>
          <w:numId w:val="1"/>
        </w:numPr>
        <w:spacing w:after="90"/>
      </w:pPr>
      <w:r>
        <w:t xml:space="preserve">Konfirmasi diagnosis melalui pengukuran berulang pada kunjungan berbeda, bukan satu kali pengukuran; pertimbangkan pemantauan tekanan darah di rumah untuk menyingkirkan efek jas putih.</w:t>
      </w:r>
    </w:p>
    <w:p>
      <w:pPr>
        <w:pStyle w:val="ListParagraph"/>
        <w:numPr>
          <w:ilvl w:val="0"/>
          <w:numId w:val="1"/>
        </w:numPr>
        <w:spacing w:after="90"/>
      </w:pPr>
      <w:r>
        <w:t xml:space="preserve">Penilaian risiko kardiovaskular total, bukan tekanan darah semata — mempertimbangkan usia, jenis kelamin, status merokok, profil lipid, dan riwayat keluarga.</w:t>
      </w:r>
    </w:p>
    <w:p>
      <w:pPr>
        <w:pStyle w:val="Heading2"/>
        <w:spacing w:after="120" w:before="250"/>
      </w:pPr>
      <w:r>
        <w:t xml:space="preserve">B. Kecurigaan Hipertensi Sekunder</w:t>
      </w:r>
    </w:p>
    <w:p>
      <w:pPr>
        <w:spacing w:after="160"/>
        <w:jc w:val="both"/>
      </w:pPr>
      <w:r>
        <w:t xml:space="preserve">Sebagian kecil kasus hipertensi memiliki penyebab spesifik yang dapat diidentifikasi dan ditangani secara berbeda dari hipertensi esensial pada umumnya.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Petunjuk Klinis</w:t>
            </w:r>
          </w:p>
        </w:tc>
        <w:tc>
          <w:tcPr>
            <w:tcW w:type="dxa" w:w="4500"/>
            <w:shd w:fill="2C3A64" w:val="clear"/>
          </w:tcPr>
          <w:p>
            <w:r>
              <w:rPr>
                <w:b/>
                <w:bCs/>
                <w:color w:val="FFFFFF"/>
              </w:rPr>
              <w:t xml:space="preserve">Kemungkinan Penyebab yang Perlu Dipertimbangkan</w:t>
            </w:r>
          </w:p>
        </w:tc>
      </w:tr>
      <w:tr>
        <w:tc>
          <w:tcPr>
            <w:tcW w:type="dxa" w:w="4500"/>
          </w:tcPr>
          <w:p>
            <w:r>
              <w:t xml:space="preserve">Onset usia muda (&lt;30 tahun) tanpa faktor risiko lazim</w:t>
            </w:r>
          </w:p>
        </w:tc>
        <w:tc>
          <w:tcPr>
            <w:tcW w:type="dxa" w:w="4500"/>
          </w:tcPr>
          <w:p>
            <w:r>
              <w:t xml:space="preserve">Penyebab renal atau endokrin, perlu penelusuran lebih lanjut</w:t>
            </w:r>
          </w:p>
        </w:tc>
      </w:tr>
      <w:tr>
        <w:tc>
          <w:tcPr>
            <w:tcW w:type="dxa" w:w="4500"/>
          </w:tcPr>
          <w:p>
            <w:r>
              <w:t xml:space="preserve">Hipertensi berat mendadak pada pasien terkontrol sebelumnya</w:t>
            </w:r>
          </w:p>
        </w:tc>
        <w:tc>
          <w:tcPr>
            <w:tcW w:type="dxa" w:w="4500"/>
          </w:tcPr>
          <w:p>
            <w:r>
              <w:t xml:space="preserve">Kemungkinan penyebab sekunder baru, perlu evaluasi</w:t>
            </w:r>
          </w:p>
        </w:tc>
      </w:tr>
      <w:tr>
        <w:tc>
          <w:tcPr>
            <w:tcW w:type="dxa" w:w="4500"/>
          </w:tcPr>
          <w:p>
            <w:r>
              <w:t xml:space="preserve">Hipokalemia tanpa sebab jelas</w:t>
            </w:r>
          </w:p>
        </w:tc>
        <w:tc>
          <w:tcPr>
            <w:tcW w:type="dxa" w:w="4500"/>
          </w:tcPr>
          <w:p>
            <w:r>
              <w:t xml:space="preserve">Kemungkinan aldosteronisme primer</w:t>
            </w:r>
          </w:p>
        </w:tc>
      </w:tr>
      <w:tr>
        <w:tc>
          <w:tcPr>
            <w:tcW w:type="dxa" w:w="4500"/>
          </w:tcPr>
          <w:p>
            <w:r>
              <w:t xml:space="preserve">Episode berkeringat, palpitasi, sakit kepala paroksismal</w:t>
            </w:r>
          </w:p>
        </w:tc>
        <w:tc>
          <w:tcPr>
            <w:tcW w:type="dxa" w:w="4500"/>
          </w:tcPr>
          <w:p>
            <w:r>
              <w:t xml:space="preserve">Kemungkinan feokromositoma, perlu evaluasi lanjut</w:t>
            </w:r>
          </w:p>
        </w:tc>
      </w:tr>
    </w:tbl>
    <w:p>
      <w:pPr>
        <w:spacing w:after="160"/>
      </w:pPr>
    </w:p>
    <w:p>
      <w:pPr>
        <w:pStyle w:val="Heading2"/>
        <w:spacing w:after="120" w:before="250"/>
      </w:pPr>
      <w:r>
        <w:t xml:space="preserve">C. Keluarga dan Kepatuhan Terapi</w:t>
      </w:r>
    </w:p>
    <w:p>
      <w:pPr>
        <w:spacing w:after="160"/>
        <w:jc w:val="both"/>
      </w:pPr>
      <w:r>
        <w:t xml:space="preserve">Edukasi keluarga menjadi bagian dari rencana tata laksana, khususnya terkait pola makan dan aktivitas fisik rumah tangga, memanfaatkan genogram dan family APGAR dari Buku Tematik 1. Penapisan kepatuhan terapi sebagai penyebab tersering hipertensi yang tampak "resisten" perlu dilakukan sebelum eskalasi terapi atau rujukan.</w:t>
      </w:r>
    </w:p>
    <w:p>
      <w:pPr>
        <w:pBdr>
          <w:left w:val="single" w:color="2C3A64" w:sz="24"/>
        </w:pBdr>
        <w:shd w:fill="EEF1F8" w:val="clear"/>
        <w:spacing w:after="200" w:before="100"/>
        <w:ind w:left="200"/>
      </w:pPr>
      <w:r>
        <w:rPr>
          <w:b/>
          <w:bCs/>
          <w:color w:val="2C3A64"/>
        </w:rPr>
        <w:t xml:space="preserve">🩺 Ilustrasi Kasus — </w:t>
      </w:r>
      <w:r>
        <w:t xml:space="preserve">Seorang laki-laki 52 tahun dengan hipertensi tampak "resisten" meski sudah tiga jenis obat. Family APGAR mengungkap disfungsi keluarga sedang, dan penggalian lebih dalam menunjukkan ia sering lupa minum obat karena tinggal sendiri sejak berpisah dengan istrinya. Alih-alih menambah obat keempat, dokter melibatkan anak sulungnya untuk mengingatkan minum obat harian — tekanan darah terkendali dalam dua bulan tanpa perubahan resep.</w:t>
      </w:r>
    </w:p>
    <w:p>
      <w:pPr>
        <w:pStyle w:val="Heading2"/>
        <w:spacing w:after="120" w:before="250"/>
      </w:pPr>
      <w:r>
        <w:t xml:space="preserve">D. Prinsip Farmakoterapi Lini Pertama</w:t>
      </w:r>
    </w:p>
    <w:p>
      <w:pPr>
        <w:spacing w:after="160"/>
        <w:jc w:val="both"/>
      </w:pPr>
      <w:r>
        <w:t xml:space="preserve">Pemilihan obat antihipertensi lini pertama di layanan primer mengikuti prinsip umum: mempertimbangkan komorbiditas pasien (mis. diabetes, penyakit ginjal kronik, penyakit jantung koroner), potensi efek samping, kemudahan regimen (idealnya sekali sehari untuk mendukung kepatuhan), dan ketersediaan dalam Formularium Nasional/JKN di fasilitas tempat bertugas. Beberapa golongan obat yang lazim menjadi pilihan awal antara lain diuretik tiazid, penghambat ACE atau penghambat reseptor angiotensin, dan penghambat kanal kalsium — pemilihan spesifik antar-golongan serta kombinasi bertahap harus mengikuti pedoman tata laksana hipertensi nasional edisi berlaku, bukan preferensi pribadi.</w:t>
      </w:r>
    </w:p>
    <w:p>
      <w:pPr>
        <w:pStyle w:val="ListParagraph"/>
        <w:numPr>
          <w:ilvl w:val="0"/>
          <w:numId w:val="1"/>
        </w:numPr>
        <w:spacing w:after="90"/>
      </w:pPr>
      <w:r>
        <w:t xml:space="preserve">Mulai dengan satu golongan obat dosis rendah, evaluasi respons dan efek samping pada kunjungan berikutnya sebelum eskalasi.</w:t>
      </w:r>
    </w:p>
    <w:p>
      <w:pPr>
        <w:pStyle w:val="ListParagraph"/>
        <w:numPr>
          <w:ilvl w:val="0"/>
          <w:numId w:val="1"/>
        </w:numPr>
        <w:spacing w:after="90"/>
      </w:pPr>
      <w:r>
        <w:t xml:space="preserve">Pertimbangkan terapi kombinasi dini (bukan menaikkan dosis tunggal ke maksimal) bila tekanan darah awal jauh di atas target, sesuai prinsip yang berkembang dalam pedoman tata laksana hipertensi terkini.</w:t>
      </w:r>
    </w:p>
    <w:p>
      <w:pPr>
        <w:pStyle w:val="ListParagraph"/>
        <w:numPr>
          <w:ilvl w:val="0"/>
          <w:numId w:val="1"/>
        </w:numPr>
        <w:spacing w:after="90"/>
      </w:pPr>
      <w:r>
        <w:t xml:space="preserve">Pada pasien dengan diabetes atau penyakit ginjal kronik, golongan penghambat sistem renin-angiotensin umumnya dipertimbangkan lebih awal karena manfaat renoprotektif — tetap wajib dikonfirmasi terhadap pedoman berlaku dan fungsi ginjal pasien.</w:t>
      </w:r>
    </w:p>
    <w:p>
      <w:pPr>
        <w:pStyle w:val="ListParagraph"/>
        <w:numPr>
          <w:ilvl w:val="0"/>
          <w:numId w:val="1"/>
        </w:numPr>
        <w:spacing w:after="90"/>
      </w:pPr>
      <w:r>
        <w:t xml:space="preserve">Edukasi efek samping yang mungkin muncul (mis. batuk kering pada penghambat ACE, edema pada penghambat kanal kalsium) agar pasien tidak menghentikan obat sendiri tanpa berkonsultasi.</w:t>
      </w:r>
    </w:p>
    <w:p>
      <w:pPr>
        <w:pBdr>
          <w:left w:val="single" w:color="A9812F" w:sz="24"/>
        </w:pBdr>
        <w:shd w:fill="FBEFD9" w:val="clear"/>
        <w:spacing w:after="200" w:before="100"/>
        <w:ind w:left="200"/>
      </w:pPr>
      <w:r>
        <w:rPr>
          <w:b/>
          <w:bCs/>
          <w:color w:val="8A6410"/>
        </w:rPr>
        <w:t xml:space="preserve">⚠ TINJAU TENAGA KESEHATAN — </w:t>
      </w:r>
      <w:r>
        <w:rPr>
          <w:i/>
          <w:iCs/>
        </w:rPr>
        <w:t xml:space="preserve">golongan obat, urutan pemilihan, dosis, dan target tekanan darah spesifik pada bagian ini bersifat prinsip umum farmakologi klinis dan wajib disesuaikan dengan pedoman tata laksana hipertensi nasional edisi berlaku (InaSH, PERKI) serta kondisi klinis dan komorbiditas tiap pasien — bukan untuk dikutip sebagai dosis definitif.</w:t>
      </w:r>
    </w:p>
    <w:p>
      <w:pPr>
        <w:pStyle w:val="Heading2"/>
        <w:spacing w:after="120" w:before="250"/>
      </w:pPr>
      <w:r>
        <w:t xml:space="preserve">E. Kolaborasi Interprofesi dan Kriteria Rujukan</w:t>
      </w:r>
    </w:p>
    <w:p>
      <w:pPr>
        <w:spacing w:after="160"/>
        <w:jc w:val="both"/>
      </w:pPr>
      <w:r>
        <w:t xml:space="preserve">Pengelolaan hipertensi di layanan primer idealnya melibatkan tim, bukan dokter seorang diri: perawat/kader untuk pemantauan tekanan darah rutin dan kunjungan rumah, apoteker untuk edukasi kepatuhan dan interaksi obat, serta ahli gizi untuk modifikasi pola makan pada kasus dengan komorbiditas kompleks. Peran dokter keluarga adalah mengoordinasikan tim ini di sekitar satu rencana perawatan yang konsisten, sejalan dengan peran Manager dan Care Provider dalam kerangka lima peran dokter layanan primer (lihat U0).</w:t>
      </w:r>
    </w:p>
    <w:p>
      <w:pPr>
        <w:spacing w:after="160"/>
        <w:jc w:val="both"/>
      </w:pPr>
      <w:r>
        <w:t xml:space="preserve">Rujukan ke layanan sekunder dipertimbangkan pada prinsip umum berikut — bukan daftar tertutup, dan tetap memerlukan penilaian klinis individual: hipertensi yang tidak terkendali meski kepatuhan terapi baik dan kombinasi obat rasional sudah dicoba; kecurigaan hipertensi sekunder yang memerlukan penelusuran lanjut di luar kapasitas FKTP; komplikasi target organ akut (mis. gejala krisis hipertensi); atau kehamilan dengan hipertensi yang memerlukan pemantauan bersama spesialis kebidanan.</w:t>
      </w:r>
    </w:p>
    <w:p>
      <w:pPr>
        <w:pStyle w:val="Heading1"/>
        <w:spacing w:after="150" w:before="300"/>
      </w:pPr>
      <w:r>
        <w:t xml:space="preserve">BAB III — DIABETES MELITUS TIPE 2</w:t>
      </w:r>
    </w:p>
    <w:p>
      <w:pPr>
        <w:spacing w:after="160" w:before="40"/>
        <w:jc w:val="both"/>
      </w:pPr>
      <w:r>
        <w:rPr>
          <w:i/>
          <w:iCs/>
          <w:color w:val="2C3A64"/>
          <w:sz w:val="24"/>
          <w:szCs w:val="24"/>
        </w:rPr>
        <w:t xml:space="preserve">Mengelola diabetes bukan soal satu resep sekali jalan, melainkan hubungan jangka panjang yang bisa berlangsung puluhan tahun — dan sebagian besar keberhasilannya ditentukan bukan di ruang praktik, melainkan di dapur dan meja makan pasien.</w:t>
      </w:r>
    </w:p>
    <w:p>
      <w:pPr>
        <w:pStyle w:val="Heading2"/>
        <w:spacing w:after="120" w:before="250"/>
      </w:pPr>
      <w:r>
        <w:t xml:space="preserve">A. Pemantauan Berkala</w:t>
      </w:r>
    </w:p>
    <w:p>
      <w:pPr>
        <w:spacing w:after="160"/>
        <w:jc w:val="both"/>
      </w:pPr>
      <w:r>
        <w:t xml:space="preserve">Pengelolaan diabetes melitus tipe 2 di layanan primer mencakup penapisan pada kelompok berisiko, penegakan diagnosis, edukasi terstruktur, pemilihan terapi farmakologis awal, pemantauan komplikasi mikrovaskular dan makrovaskular secara berkala, serta koordinasi rujukan ke layanan sekunder-tersier saat diperlukan.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Komponen Pemantauan</w:t>
            </w:r>
          </w:p>
        </w:tc>
        <w:tc>
          <w:tcPr>
            <w:tcW w:type="dxa" w:w="4500"/>
            <w:shd w:fill="2C3A64" w:val="clear"/>
          </w:tcPr>
          <w:p>
            <w:r>
              <w:rPr>
                <w:b/>
                <w:bCs/>
                <w:color w:val="FFFFFF"/>
              </w:rPr>
              <w:t xml:space="preserve">Frekuensi Umum Dianjurkan</w:t>
            </w:r>
          </w:p>
        </w:tc>
      </w:tr>
      <w:tr>
        <w:tc>
          <w:tcPr>
            <w:tcW w:type="dxa" w:w="4500"/>
          </w:tcPr>
          <w:p>
            <w:r>
              <w:t xml:space="preserve">HbA1c atau gula darah puasa</w:t>
            </w:r>
          </w:p>
        </w:tc>
        <w:tc>
          <w:tcPr>
            <w:tcW w:type="dxa" w:w="4500"/>
          </w:tcPr>
          <w:p>
            <w:r>
              <w:t xml:space="preserve">Berkala sesuai stabilitas kendali glikemik</w:t>
            </w:r>
          </w:p>
        </w:tc>
      </w:tr>
      <w:tr>
        <w:tc>
          <w:tcPr>
            <w:tcW w:type="dxa" w:w="4500"/>
          </w:tcPr>
          <w:p>
            <w:r>
              <w:t xml:space="preserve">Fungsi ginjal dan urin albumin</w:t>
            </w:r>
          </w:p>
        </w:tc>
        <w:tc>
          <w:tcPr>
            <w:tcW w:type="dxa" w:w="4500"/>
          </w:tcPr>
          <w:p>
            <w:r>
              <w:t xml:space="preserve">Tahunan, lebih sering bila terdapat kelainan</w:t>
            </w:r>
          </w:p>
        </w:tc>
      </w:tr>
      <w:tr>
        <w:tc>
          <w:tcPr>
            <w:tcW w:type="dxa" w:w="4500"/>
          </w:tcPr>
          <w:p>
            <w:r>
              <w:t xml:space="preserve">Pemeriksaan kaki</w:t>
            </w:r>
          </w:p>
        </w:tc>
        <w:tc>
          <w:tcPr>
            <w:tcW w:type="dxa" w:w="4500"/>
          </w:tcPr>
          <w:p>
            <w:r>
              <w:t xml:space="preserve">Setiap kunjungan kendali; pemeriksaan menyeluruh tahunan</w:t>
            </w:r>
          </w:p>
        </w:tc>
      </w:tr>
      <w:tr>
        <w:tc>
          <w:tcPr>
            <w:tcW w:type="dxa" w:w="4500"/>
          </w:tcPr>
          <w:p>
            <w:r>
              <w:t xml:space="preserve">Pemeriksaan mata (funduskopi)</w:t>
            </w:r>
          </w:p>
        </w:tc>
        <w:tc>
          <w:tcPr>
            <w:tcW w:type="dxa" w:w="4500"/>
          </w:tcPr>
          <w:p>
            <w:r>
              <w:t xml:space="preserve">Tahunan atau sesuai rekomendasi spesialis mata</w:t>
            </w:r>
          </w:p>
        </w:tc>
      </w:tr>
      <w:tr>
        <w:tc>
          <w:tcPr>
            <w:tcW w:type="dxa" w:w="4500"/>
          </w:tcPr>
          <w:p>
            <w:r>
              <w:t xml:space="preserve">Profil lipid</w:t>
            </w:r>
          </w:p>
        </w:tc>
        <w:tc>
          <w:tcPr>
            <w:tcW w:type="dxa" w:w="4500"/>
          </w:tcPr>
          <w:p>
            <w:r>
              <w:t xml:space="preserve">Tahunan atau sesuai indikasi klinis</w:t>
            </w:r>
          </w:p>
        </w:tc>
      </w:tr>
    </w:tbl>
    <w:p>
      <w:pPr>
        <w:spacing w:after="160"/>
      </w:pPr>
    </w:p>
    <w:p>
      <w:pPr>
        <w:spacing w:after="160"/>
        <w:jc w:val="both"/>
      </w:pPr>
      <w:r>
        <w:t xml:space="preserve">Angka target dan pilihan obat lini pertama tidak dicantumkan secara spesifik pada buku ini dan wajib mengikuti pedoman nasional terbaru sesuai catatan tinjau pada Bab I.</w:t>
      </w:r>
    </w:p>
    <w:p>
      <w:pPr>
        <w:pStyle w:val="Heading2"/>
        <w:spacing w:after="120" w:before="250"/>
      </w:pPr>
      <w:r>
        <w:t xml:space="preserve">B. Edukasi Swakelola Diabetes</w:t>
      </w:r>
    </w:p>
    <w:p>
      <w:pPr>
        <w:spacing w:after="160"/>
        <w:jc w:val="both"/>
      </w:pPr>
      <w:r>
        <w:t xml:space="preserve">Edukasi terstruktur (Diabetes Self-Management Education) bukan aktivitas satu kali, melainkan proses berkelanjutan yang melibatkan pemahaman penyakit, keterampilan pemantauan gula darah mandiri, pengelolaan diet yang realistis sesuai konteks sosial-ekonomi dan budaya pasien, pengenalan tanda hipoglikemia dan hiperglikemia, serta pelibatan keluarga dalam mendukung perubahan perilaku.</w:t>
      </w:r>
    </w:p>
    <w:p>
      <w:pPr>
        <w:pBdr>
          <w:left w:val="single" w:color="2C3A64" w:sz="24"/>
        </w:pBdr>
        <w:shd w:fill="EEF1F8" w:val="clear"/>
        <w:spacing w:after="200" w:before="100"/>
        <w:ind w:left="200"/>
      </w:pPr>
      <w:r>
        <w:rPr>
          <w:b/>
          <w:bCs/>
          <w:color w:val="2C3A64"/>
        </w:rPr>
        <w:t xml:space="preserve">🩺 Ilustrasi Kasus — </w:t>
      </w:r>
      <w:r>
        <w:t xml:space="preserve">Seorang perempuan 58 tahun dengan diabetes yang tidak kunjung terkendali ternyata selama ini mengikuti pantangan makan yang justru salah kaprah — ia menghindari nasi sepenuhnya namun tanpa sadar mengonsumsi gorengan dan minuman manis berlebih sebagai "pengganti". Edukasi swakelola yang disesuaikan dengan kebiasaan makan keluarganya, bukan sekadar leaflet umum, akhirnya membawa perbaikan kendali gula darah dalam tiga bulan.</w:t>
      </w:r>
    </w:p>
    <w:p>
      <w:pPr>
        <w:pStyle w:val="Heading2"/>
        <w:spacing w:after="120" w:before="250"/>
      </w:pPr>
      <w:r>
        <w:t xml:space="preserve">C. Farmakoterapi dan Pemantauan Komplikasi Kronik</w:t>
      </w:r>
    </w:p>
    <w:p>
      <w:pPr>
        <w:spacing w:after="160"/>
        <w:jc w:val="both"/>
      </w:pPr>
      <w:r>
        <w:t xml:space="preserve">Terapi farmakologis diabetes melitus tipe 2 di layanan primer umumnya dimulai bersamaan dengan intervensi gaya hidup, bukan menunggu gaya hidup gagal terlebih dahulu — prinsip ini konsisten di berbagai pedoman tata laksana diabetes terkini. Pemilihan obat lini pertama mempertimbangkan fungsi ginjal, komorbiditas kardiovaskular, risiko hipoglikemia, dan ketersediaan dalam Formularium Nasional; golongan dan urutan pemilihan spesifik wajib mengikuti pedoman PERKENI edisi berlaku.</w:t>
      </w:r>
    </w:p>
    <w:p>
      <w:pPr>
        <w:spacing w:after="160"/>
        <w:jc w:val="both"/>
      </w:pPr>
      <w:r>
        <w:t xml:space="preserve">Pemantauan komplikasi kronik merupakan tanggung jawab berkelanjutan dokter keluarga, bukan hanya saat pasien mengeluh: pemeriksaan kaki berkala untuk deteksi dini neuropati dan risiko ulkus diabetik, evaluasi fungsi ginjal periodik, serta rujukan terjadwal untuk pemeriksaan mata (skrining retinopati) meski pasien belum mengeluh gangguan penglihatan. Pendekatan proaktif ini mencerminkan peran Care Provider dan Manager dokter layanan primer.</w:t>
      </w:r>
    </w:p>
    <w:p>
      <w:pPr>
        <w:pStyle w:val="ListParagraph"/>
        <w:numPr>
          <w:ilvl w:val="0"/>
          <w:numId w:val="1"/>
        </w:numPr>
        <w:spacing w:after="90"/>
      </w:pPr>
      <w:r>
        <w:t xml:space="preserve">Edukasi perawatan kaki mandiri dan pemeriksaan kaki oleh tenaga kesehatan minimal satu kali per tahun, lebih sering pada pasien berisiko tinggi.</w:t>
      </w:r>
    </w:p>
    <w:p>
      <w:pPr>
        <w:pStyle w:val="ListParagraph"/>
        <w:numPr>
          <w:ilvl w:val="0"/>
          <w:numId w:val="1"/>
        </w:numPr>
        <w:spacing w:after="90"/>
      </w:pPr>
      <w:r>
        <w:t xml:space="preserve">Penapisan fungsi ginjal berkala sebagai bagian rutin pemantauan, bukan hanya saat dicurigai komplikasi.</w:t>
      </w:r>
    </w:p>
    <w:p>
      <w:pPr>
        <w:pStyle w:val="ListParagraph"/>
        <w:numPr>
          <w:ilvl w:val="0"/>
          <w:numId w:val="1"/>
        </w:numPr>
        <w:spacing w:after="90"/>
      </w:pPr>
      <w:r>
        <w:t xml:space="preserve">Rujukan skrining mata terjadwal, idealnya terintegrasi dengan jaringan layanan mata yang bekerja sama dengan FKTP.</w:t>
      </w:r>
    </w:p>
    <w:p>
      <w:pPr>
        <w:pStyle w:val="ListParagraph"/>
        <w:numPr>
          <w:ilvl w:val="0"/>
          <w:numId w:val="1"/>
        </w:numPr>
        <w:spacing w:after="90"/>
      </w:pPr>
      <w:r>
        <w:t xml:space="preserve">Edukasi pengenalan dan penanganan awal hipoglikemia bagi pasien dan keluarga, khususnya pada pasien dengan terapi insulin atau sulfonilurea.</w:t>
      </w:r>
    </w:p>
    <w:p>
      <w:pPr>
        <w:pBdr>
          <w:left w:val="single" w:color="A9812F" w:sz="24"/>
        </w:pBdr>
        <w:shd w:fill="FBEFD9" w:val="clear"/>
        <w:spacing w:after="200" w:before="100"/>
        <w:ind w:left="200"/>
      </w:pPr>
      <w:r>
        <w:rPr>
          <w:b/>
          <w:bCs/>
          <w:color w:val="8A6410"/>
        </w:rPr>
        <w:t xml:space="preserve">⚠ TINJAU TENAGA KESEHATAN — </w:t>
      </w:r>
      <w:r>
        <w:rPr>
          <w:i/>
          <w:iCs/>
        </w:rPr>
        <w:t xml:space="preserve">golongan obat, urutan farmakoterapi, target HbA1c, dan interval pemantauan komplikasi pada bagian ini bersifat prinsip umum dan wajib disesuaikan dengan pedoman PERKENI edisi berlaku serta kondisi individual pasien.</w:t>
      </w:r>
    </w:p>
    <w:p>
      <w:pPr>
        <w:pStyle w:val="Heading2"/>
        <w:spacing w:after="120" w:before="250"/>
      </w:pPr>
      <w:r>
        <w:t xml:space="preserve">D. Populasi Khusus: Diabetes pada Kehamilan dan Lanjut Usia</w:t>
      </w:r>
    </w:p>
    <w:p>
      <w:pPr>
        <w:spacing w:after="160"/>
        <w:jc w:val="both"/>
      </w:pPr>
      <w:r>
        <w:t xml:space="preserve">Diabetes melitus gestasional memerlukan penapisan terjadwal pada kehamilan dan tata laksana yang dikoordinasikan bersama layanan kebidanan, mengingat risikonya terhadap ibu dan janin bila tidak terkendali; rujukan bersama sejak penapisan positif adalah prinsip kerja yang dianjurkan, bukan menunggu komplikasi muncul. Pada lanjut usia, target kendali gula darah cenderung lebih longgar dan individual — mempertimbangkan harapan hidup, risiko jatuh akibat hipoglikemia, polifarmasi, dan status fungsional — sejalan dengan prinsip asesmen geriatri komprehensif yang dibahas lebih lanjut di Buku Tematik 6 (Geriatri).</w:t>
      </w:r>
    </w:p>
    <w:p>
      <w:pPr>
        <w:pStyle w:val="Heading1"/>
        <w:spacing w:after="150" w:before="300"/>
      </w:pPr>
      <w:r>
        <w:t xml:space="preserve">BAB IV — DISLIPIDEMIA</w:t>
      </w:r>
    </w:p>
    <w:p>
      <w:pPr>
        <w:spacing w:after="160" w:before="40"/>
        <w:jc w:val="both"/>
      </w:pPr>
      <w:r>
        <w:rPr>
          <w:i/>
          <w:iCs/>
          <w:color w:val="2C3A64"/>
          <w:sz w:val="24"/>
          <w:szCs w:val="24"/>
        </w:rPr>
        <w:t xml:space="preserve">Angka kolesterol di atas kertas sering terasa abstrak bagi pasien — sampai dokter menghubungkannya dengan risiko nyata yang mereka pahami: serangan jantung, stroke, atau nasib yang sama dengan orang tua mereka.</w:t>
      </w:r>
    </w:p>
    <w:p>
      <w:pPr>
        <w:pStyle w:val="Heading2"/>
        <w:spacing w:after="120" w:before="250"/>
      </w:pPr>
      <w:r>
        <w:t xml:space="preserve">A. Penilaian Risiko, Bukan Angka Tunggal</w:t>
      </w:r>
    </w:p>
    <w:p>
      <w:pPr>
        <w:spacing w:after="160"/>
        <w:jc w:val="both"/>
      </w:pPr>
      <w:r>
        <w:t xml:space="preserve">Dislipidemia umumnya ditemukan bersamaan dengan hipertensi dan diabetes melitus dalam konteks sindrom metabolik. Pendekatan layanan primer menekankan penilaian risiko kardiovaskular total sebagai dasar keputusan terapi, bukan semata angka kolesterol tunggal, serta pentingnya modifikasi gaya hidup sebagai intervensi lini pertama pada risiko rendah-sedang.</w:t>
      </w:r>
    </w:p>
    <w:p>
      <w:pPr>
        <w:pStyle w:val="Heading2"/>
        <w:spacing w:after="120" w:before="250"/>
      </w:pPr>
      <w:r>
        <w:t xml:space="preserve">B. Kecurigaan Dislipidemia Familial</w:t>
      </w:r>
    </w:p>
    <w:p>
      <w:pPr>
        <w:spacing w:after="160"/>
        <w:jc w:val="both"/>
      </w:pPr>
      <w:r>
        <w:t xml:space="preserve">Dislipidemia familial (herediter) perlu dicurigai pada pasien dengan kadar kolesterol sangat tinggi, riwayat keluarga penyakit jantung koroner prematur, atau tanda klinis khas (xanthelasma, xanthoma tendon) — kondisi ini memerlukan genogram tiga generasi yang cermat (Buku Tematik 1) dan pertimbangan penapisan pada anggota keluarga lain.</w:t>
      </w:r>
    </w:p>
    <w:p>
      <w:pPr>
        <w:pStyle w:val="Heading2"/>
        <w:spacing w:after="120" w:before="250"/>
      </w:pPr>
      <w:r>
        <w:t xml:space="preserve">C. Farmakoterapi dan Pemantauan Jangka Panjang</w:t>
      </w:r>
    </w:p>
    <w:p>
      <w:pPr>
        <w:spacing w:after="160"/>
        <w:jc w:val="both"/>
      </w:pPr>
      <w:r>
        <w:t xml:space="preserve">Golongan statin merupakan pilihan farmakoterapi lini pertama yang paling banyak didukung bukti untuk menurunkan risiko kardiovaskular pada dislipidemia, dengan intensitas terapi (rendah, sedang, tinggi) ditentukan oleh stratifikasi risiko kardiovaskular total pasien — bukan angka kolesterol tunggal semata. Pemantauan meliputi profil lipid berkala, evaluasi gejala keluhan otot yang jarang namun perlu ditelusuri, dan pengingat bahwa terapi ini umumnya bersifat jangka panjang, sehingga edukasi kepatuhan sama pentingnya dengan pemilihan obat itu sendiri.</w:t>
      </w:r>
    </w:p>
    <w:p>
      <w:pPr>
        <w:pBdr>
          <w:left w:val="single" w:color="2C3A64" w:sz="24"/>
        </w:pBdr>
        <w:shd w:fill="EEF1F8" w:val="clear"/>
        <w:spacing w:after="200" w:before="100"/>
        <w:ind w:left="200"/>
      </w:pPr>
      <w:r>
        <w:rPr>
          <w:b/>
          <w:bCs/>
          <w:color w:val="2C3A64"/>
        </w:rPr>
        <w:t xml:space="preserve">🩺 Ilustrasi Kasus — </w:t>
      </w:r>
      <w:r>
        <w:t xml:space="preserve">Seorang laki-laki 46 tahun berhenti minum obat statin sendiri setelah tiga bulan karena "sudah merasa sehat" dan khawatir efek samping yang dibacanya di media sosial. Dokter keluarga meluangkan waktu menjelaskan bahwa manfaat statin bersifat pencegahan jangka panjang, bukan untuk menghilangkan gejala yang memang tidak dirasakannya — pendekatan FIFE mengungkap kekhawatirannya yang sebenarnya adalah biaya obat rutin, yang kemudian didiskusikan bersama opsi yang tersedia dalam program JKN.</w:t>
      </w:r>
    </w:p>
    <w:p>
      <w:pPr>
        <w:pBdr>
          <w:left w:val="single" w:color="A9812F" w:sz="24"/>
        </w:pBdr>
        <w:shd w:fill="FBEFD9" w:val="clear"/>
        <w:spacing w:after="200" w:before="100"/>
        <w:ind w:left="200"/>
      </w:pPr>
      <w:r>
        <w:rPr>
          <w:b/>
          <w:bCs/>
          <w:color w:val="8A6410"/>
        </w:rPr>
        <w:t xml:space="preserve">⚠ TINJAU TENAGA KESEHATAN — </w:t>
      </w:r>
      <w:r>
        <w:rPr>
          <w:i/>
          <w:iCs/>
        </w:rPr>
        <w:t xml:space="preserve">golongan obat, intensitas terapi, dan target profil lipid pada bagian ini bersifat prinsip umum dan wajib disesuaikan dengan pedoman tata laksana dislipidemia nasional edisi berlaku (PERKI) serta stratifikasi risiko individual pasien.</w:t>
      </w:r>
    </w:p>
    <w:p>
      <w:pPr>
        <w:pStyle w:val="Heading1"/>
        <w:spacing w:after="150" w:before="300"/>
      </w:pPr>
      <w:r>
        <w:t xml:space="preserve">BAB V — OBESITAS</w:t>
      </w:r>
    </w:p>
    <w:p>
      <w:pPr>
        <w:spacing w:after="160" w:before="40"/>
        <w:jc w:val="both"/>
      </w:pPr>
      <w:r>
        <w:rPr>
          <w:i/>
          <w:iCs/>
          <w:color w:val="2C3A64"/>
          <w:sz w:val="24"/>
          <w:szCs w:val="24"/>
        </w:rPr>
        <w:t xml:space="preserve">Tidak ada topik dalam kedokteran yang lebih mudah menyinggung pasien bila disampaikan dengan cara yang salah dibanding berat badan. Bab ini menekankan cara bicara yang membangun, bukan menjatuhkan.</w:t>
      </w:r>
    </w:p>
    <w:p>
      <w:pPr>
        <w:pStyle w:val="Heading2"/>
        <w:spacing w:after="120" w:before="250"/>
      </w:pPr>
      <w:r>
        <w:t xml:space="preserve">A. Penilaian dan Faktor Psikososial</w:t>
      </w:r>
    </w:p>
    <w:p>
      <w:pPr>
        <w:spacing w:after="160"/>
        <w:jc w:val="both"/>
      </w:pPr>
      <w:r>
        <w:t xml:space="preserve">Obesitas adalah faktor risiko bersama bagi hipertensi, diabetes, dan dislipidemia, sekaligus kondisi yang memerlukan pendekatan tersendiri: penilaian indeks massa tubuh dan lingkar perut, penggalian faktor psikososial dan pola makan keluarga, serta intervensi bertahap yang realistis sesuai konteks sosial-ekonomi pasien.</w:t>
      </w:r>
    </w:p>
    <w:p>
      <w:pPr>
        <w:pStyle w:val="Heading2"/>
        <w:spacing w:after="120" w:before="250"/>
      </w:pPr>
      <w:r>
        <w:t xml:space="preserve">B. Menghindari Stigmatisasi</w:t>
      </w:r>
    </w:p>
    <w:p>
      <w:pPr>
        <w:spacing w:after="160"/>
        <w:jc w:val="both"/>
      </w:pPr>
      <w:r>
        <w:t xml:space="preserve">Pendekatan yang menghakimi (stigmatisasi berat badan) terbukti kontraproduktif dan dapat memperburuk hubungan dokter-pasien. Dokter layanan primer dianjurkan menggunakan bahasa netral, berfokus pada perilaku dan kesehatan fungsional ketimbang angka semata, serta menyelaraskan target dengan harapan realistis pasien menggunakan kerangka FIFE (Buku Tematik 1).</w:t>
      </w:r>
    </w:p>
    <w:p>
      <w:pPr>
        <w:pBdr>
          <w:left w:val="single" w:color="2C3A64" w:sz="24"/>
        </w:pBdr>
        <w:shd w:fill="EEF1F8" w:val="clear"/>
        <w:spacing w:after="200" w:before="100"/>
        <w:ind w:left="200"/>
      </w:pPr>
      <w:r>
        <w:rPr>
          <w:b/>
          <w:bCs/>
          <w:color w:val="2C3A64"/>
        </w:rPr>
        <w:t xml:space="preserve">🩺 Ilustrasi Kasus — </w:t>
      </w:r>
      <w:r>
        <w:t xml:space="preserve">Seorang remaja perempuan 17 tahun dengan obesitas merasa malu setiap kali ditimbang di depan ibunya. Dokter mengubah pendekatan: menimbang secara pribadi, berfokus pada pertanyaan tentang kualitas tidur dan aktivitas yang disukainya (bukan makanan yang "dilarang"), dan menyusun target kecil bersama — berjalan kaki tiga kali seminggu. Perubahan bahasa ini membuka kesediaannya untuk kembali kontrol, sesuatu yang gagal dicapai kunjungan-kunjungan sebelumnya.</w:t>
      </w:r>
    </w:p>
    <w:p>
      <w:pPr>
        <w:pStyle w:val="Heading2"/>
        <w:spacing w:after="120" w:before="250"/>
      </w:pPr>
      <w:r>
        <w:t xml:space="preserve">C. Pendekatan Multidisiplin dan Kriteria Rujukan</w:t>
      </w:r>
    </w:p>
    <w:p>
      <w:pPr>
        <w:spacing w:after="160"/>
        <w:jc w:val="both"/>
      </w:pPr>
      <w:r>
        <w:t xml:space="preserve">Tata laksana obesitas yang efektif jarang berhasil dengan intervensi dokter seorang diri: kolaborasi dengan ahli gizi untuk perencanaan diet realistis, fisioterapis atau instruktur aktivitas fisik untuk program latihan bertahap yang aman, dan bila tersedia, dukungan psikologis untuk mengatasi pola makan emosional atau gangguan citra tubuh, memberikan hasil yang lebih berkelanjutan dibanding nasihat tunggal "makan lebih sedikit, bergerak lebih banyak".</w:t>
      </w:r>
    </w:p>
    <w:p>
      <w:pPr>
        <w:spacing w:after="160"/>
        <w:jc w:val="both"/>
      </w:pPr>
      <w:r>
        <w:t xml:space="preserve">Rujukan ke layanan sekunder/tersier dipertimbangkan pada kondisi tertentu — bukan daftar tertutup dan tetap memerlukan penilaian individual: obesitas dengan komplikasi metabolik berat yang tidak membaik dengan intervensi FKTP, kecurigaan penyebab sekunder (mis. gangguan endokrin yang mendasari), atau kasus yang memenuhi kriteria evaluasi bedah bariatrik sesuai indikasi yang berlaku, yang memerlukan asesmen multidisiplin di fasilitas rujukan.</w:t>
      </w:r>
    </w:p>
    <w:p>
      <w:pPr>
        <w:pStyle w:val="Heading1"/>
        <w:spacing w:after="150" w:before="300"/>
      </w:pPr>
      <w:r>
        <w:t xml:space="preserve">BAB VI — PENDEKATAN SINDROM METABOLIK TERPADU</w:t>
      </w:r>
    </w:p>
    <w:p>
      <w:pPr>
        <w:spacing w:after="160" w:before="40"/>
        <w:jc w:val="both"/>
      </w:pPr>
      <w:r>
        <w:rPr>
          <w:i/>
          <w:iCs/>
          <w:color w:val="2C3A64"/>
          <w:sz w:val="24"/>
          <w:szCs w:val="24"/>
        </w:rPr>
        <w:t xml:space="preserve">Mengapa mengobati empat penyakit secara terpisah padahal sering kali akarnya satu? Bab ini mengajak melihat sindrom metabolik sebagai satu masalah besar, bukan empat resep berbeda.</w:t>
      </w:r>
    </w:p>
    <w:p>
      <w:pPr>
        <w:spacing w:after="160"/>
        <w:jc w:val="both"/>
      </w:pPr>
      <w:r>
        <w:t xml:space="preserve">Karena keempat kondisi pada bab-bab sebelumnya sering muncul bersamaan, dokter layanan primer dianjurkan mengelolanya secara terpadu dalam satu rencana perawatan — memanfaatkan perangkat family-centered pada Buku Tematik 1 untuk memahami pola risiko dalam keluarga dan merancang intervensi yang melibatkan seluruh anggota keluarga berisiko.</w:t>
      </w:r>
    </w:p>
    <w:p>
      <w:pPr>
        <w:spacing w:after="160"/>
        <w:jc w:val="both"/>
      </w:pPr>
      <w:r>
        <w:t xml:space="preserve">Kriteria kerja sindrom metabolik umumnya mensyaratkan kombinasi obesitas sentral dengan minimal dua dari: hipertensi, hiperglikemia puasa, hipertrigliseridemia, dan HDL rendah — namun ambang angka spesifik bervariasi antarpedoman dan wajib dirujuk ke sumber nasional terbaru sesuai catatan tinjau Bab I.</w:t>
      </w:r>
    </w:p>
    <w:p>
      <w:pPr>
        <w:pStyle w:val="Heading2"/>
        <w:spacing w:after="120" w:before="250"/>
      </w:pPr>
      <w:r>
        <w:t xml:space="preserve">A. Prioritisasi Intervensi pada Pasien dengan Banyak Faktor Risiko Sekaligus</w:t>
      </w:r>
    </w:p>
    <w:p>
      <w:pPr>
        <w:spacing w:after="160"/>
        <w:jc w:val="both"/>
      </w:pPr>
      <w:r>
        <w:t xml:space="preserve">Pasien dengan sindrom metabolik sering menerima lebih dari satu rencana edukasi gaya hidup yang tumpang tindih (diet untuk diabetes, diet untuk hipertensi, diet untuk dislipidemia) dari kunjungan yang berbeda-beda, yang justru membingungkan dan menurunkan kepatuhan. Prinsip kerja yang dianjurkan adalah menyatukan rencana ini menjadi satu paket intervensi gaya hidup terpadu (pola makan, aktivitas fisik, berhenti merokok, tidur) yang disampaikan konsisten oleh satu tim, alih-alih empat nasihat berbeda dari empat kunjungan berbeda.</w:t>
      </w:r>
    </w:p>
    <w:p>
      <w:pPr>
        <w:spacing w:after="160"/>
        <w:jc w:val="both"/>
      </w:pPr>
      <w:r>
        <w:t xml:space="preserve">Urutan prioritas intervensi pada pasien dengan banyak faktor risiko sekaligus idealnya disepakati bersama pasien menggunakan pendekatan pengambilan keputusan bersama (shared decision making): faktor risiko mana yang paling mengkhawatirkan pasien, perubahan mana yang paling realistis dicapai lebih dulu, dan bagaimana keberhasilan kecil di satu area dapat menjadi modal motivasi untuk area berikutnya — sejalan dengan peran Communicator dan Care Provider dalam kerangka lima peran dokter layanan primer.</w:t>
      </w:r>
    </w:p>
    <w:p>
      <w:pPr>
        <w:pStyle w:val="Heading1"/>
        <w:spacing w:after="150" w:before="300"/>
      </w:pPr>
      <w:r>
        <w:t xml:space="preserve">BAB VII — PENCEGAHAN KARDIOVASKULAR PRIMER DAN SEKUNDER</w:t>
      </w:r>
    </w:p>
    <w:p>
      <w:pPr>
        <w:spacing w:after="160" w:before="40"/>
        <w:jc w:val="both"/>
      </w:pPr>
      <w:r>
        <w:rPr>
          <w:i/>
          <w:iCs/>
          <w:color w:val="2C3A64"/>
          <w:sz w:val="24"/>
          <w:szCs w:val="24"/>
        </w:rPr>
        <w:t xml:space="preserve">Pencegahan jarang terasa dramatis — tidak ada momen penyelamatan nyawa yang kasatmata. Namun justru di sinilah dokter keluarga memberi dampak terbesar: mencegah kejadian yang tidak pernah terjadi.</w:t>
      </w:r>
    </w:p>
    <w:p>
      <w:pPr>
        <w:pStyle w:val="Heading2"/>
        <w:spacing w:after="120" w:before="250"/>
      </w:pPr>
      <w:r>
        <w:t xml:space="preserve">A. Pencegahan Primer</w:t>
      </w:r>
    </w:p>
    <w:p>
      <w:pPr>
        <w:spacing w:after="160"/>
        <w:jc w:val="both"/>
      </w:pPr>
      <w:r>
        <w:t xml:space="preserve">Pencegahan primer ditujukan pada individu berisiko yang belum mengalami kejadian kardiovaskular, berfokus pada modifikasi faktor risiko (merokok, aktivitas fisik, diet, tekanan darah, profil lipid, gula darah). Edukasi berhenti merokok merupakan intervensi tunggal dengan dampak terbesar pada pengurangan risiko kardiovaskular.</w:t>
      </w:r>
    </w:p>
    <w:p>
      <w:pPr>
        <w:spacing w:after="160"/>
        <w:jc w:val="both"/>
      </w:pPr>
      <w:r>
        <w:t xml:space="preserve">Alat bantu stratifikasi risiko kardiovaskular total (mempertimbangkan kombinasi usia, jenis kelamin, status merokok, tekanan darah, dan profil lipid secara bersamaan, bukan satu faktor terisolasi) dapat membantu dokter layanan primer memprioritaskan pasien mana yang paling membutuhkan intervensi intensif lebih dulu dengan sumber daya yang terbatas — kalkulator/skor spesifik yang dipakai wajib mengikuti yang direkomendasikan pedoman nasional (PERKI) dan divalidasi untuk populasi Indonesia.</w:t>
      </w:r>
    </w:p>
    <w:p>
      <w:pPr>
        <w:pStyle w:val="Heading2"/>
        <w:spacing w:after="120" w:before="250"/>
      </w:pPr>
      <w:r>
        <w:t xml:space="preserve">B. Pencegahan Sekunder</w:t>
      </w:r>
    </w:p>
    <w:p>
      <w:pPr>
        <w:spacing w:after="160"/>
        <w:jc w:val="both"/>
      </w:pPr>
      <w:r>
        <w:t xml:space="preserve">Pencegahan sekunder ditujukan pada pasien yang telah mengalami kejadian kardiovaskular (infark miokard, stroke), berfokus pada mencegah kejadian berulang melalui kepatuhan terapi, rehabilitasi, dan pemantauan berkelanjutan yang terkoordinasi dengan layanan sekunder-tersier — termasuk koordinasi pasca-rawat inap untuk memastikan kesinambungan terapi dan rujukan balik yang jelas.</w:t>
      </w:r>
    </w:p>
    <w:p>
      <w:pPr>
        <w:spacing w:after="160"/>
        <w:jc w:val="both"/>
      </w:pPr>
      <w:r>
        <w:t xml:space="preserve">Periode transisi pasca-rawat inap (dari rumah sakit kembali ke layanan primer) adalah titik rawan terjadinya putus obat dan kebingungan rencana terapi, terutama bila pasien menerima instruksi berbeda dari beberapa dokter spesialis sekaligus. Dokter keluarga berperan sebagai koordinator tunggal yang merekonsiliasi seluruh obat dan rencana terapi menjadi satu rencana yang koheren, dikomunikasikan jelas kepada pasien dan keluarga — salah satu wujud konkret peran Manager dalam kerangka lima peran dokter layanan primer.</w:t>
      </w:r>
    </w:p>
    <w:p>
      <w:pPr>
        <w:pStyle w:val="Heading2"/>
        <w:spacing w:after="120" w:before="250"/>
      </w:pPr>
      <w:r>
        <w:t xml:space="preserve">C. Peran Keluarga dan Komunitas dalam Pencegahan</w:t>
      </w:r>
    </w:p>
    <w:p>
      <w:pPr>
        <w:spacing w:after="160"/>
        <w:jc w:val="both"/>
      </w:pPr>
      <w:r>
        <w:t xml:space="preserve">Pencegahan kardiovaskular-metabolik yang efektif jarang berhenti di ruang praktik: keterlibatan keluarga dalam perubahan pola makan rumah tangga, dukungan sebaya melalui kelompok Posbindu PTM (Pos Pembinaan Terpadu Penyakit Tidak Menular) di tingkat komunitas, dan kolaborasi dengan kader kesehatan untuk pemantauan berkelanjutan di luar jadwal kunjungan formal, memperkuat keberlanjutan perubahan perilaku yang sulit dicapai lewat nasihat satu arah di ruang praktik semata.</w:t>
      </w:r>
    </w:p>
    <w:p>
      <w:pPr>
        <w:pStyle w:val="Heading1"/>
        <w:spacing w:after="150" w:before="300"/>
      </w:pPr>
      <w:r>
        <w:t xml:space="preserve">BAB VII-A — PENJENJANGAN CAPAIAN PEMBELAJARAN TAHUN I–IV: PENGELOLAAN PENYAKIT KARDIOVASKULAR DAN METABOLIK</w:t>
      </w:r>
    </w:p>
    <w:p>
      <w:pPr>
        <w:spacing w:after="160" w:before="40"/>
        <w:jc w:val="both"/>
      </w:pPr>
      <w:r>
        <w:rPr>
          <w:i/>
          <w:iCs/>
          <w:color w:val="2C3A64"/>
          <w:sz w:val="24"/>
          <w:szCs w:val="24"/>
        </w:rPr>
        <w:t xml:space="preserve">Mengelola satu pasien hipertensi terkontrol jauh berbeda dengan mengelola satu populasi terdaftar dengan sindrom metabolik campur aduk — penjenjangan berikut menandai perjalanan itu.</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presentasi klinis hipertensi, DM2, dan dislipidemia; melakukan penapisan rutin.</w:t>
            </w:r>
          </w:p>
        </w:tc>
        <w:tc>
          <w:tcPr>
            <w:tcW w:type="dxa" w:w="2250"/>
          </w:tcPr>
          <w:p>
            <w:r>
              <w:t xml:space="preserve">Observasi dan dibimbing langsung.</w:t>
            </w:r>
          </w:p>
        </w:tc>
        <w:tc>
          <w:tcPr>
            <w:tcW w:type="dxa" w:w="2250"/>
          </w:tcPr>
          <w:p>
            <w:r>
              <w:t xml:space="preserve">Mampu menegakkan diagnosis kasus tunggal tanpa komplikasi dengan supervisi.</w:t>
            </w:r>
          </w:p>
        </w:tc>
      </w:tr>
      <w:tr>
        <w:tc>
          <w:tcPr>
            <w:tcW w:type="dxa" w:w="2250"/>
          </w:tcPr>
          <w:p>
            <w:r>
              <w:t xml:space="preserve">Tahun II</w:t>
            </w:r>
          </w:p>
        </w:tc>
        <w:tc>
          <w:tcPr>
            <w:tcW w:type="dxa" w:w="2250"/>
          </w:tcPr>
          <w:p>
            <w:r>
              <w:t xml:space="preserve">Menyusun rencana tata laksana awal dan edukasi swakelola untuk kasus tunggal tanpa komplikasi berat.</w:t>
            </w:r>
          </w:p>
        </w:tc>
        <w:tc>
          <w:tcPr>
            <w:tcW w:type="dxa" w:w="2250"/>
          </w:tcPr>
          <w:p>
            <w:r>
              <w:t xml:space="preserve">Dibimbing tidak langsung.</w:t>
            </w:r>
          </w:p>
        </w:tc>
        <w:tc>
          <w:tcPr>
            <w:tcW w:type="dxa" w:w="2250"/>
          </w:tcPr>
          <w:p>
            <w:r>
              <w:t xml:space="preserve">Mampu memantau kendali penyakit kronik dan mengenali tanda kegagalan terapi.</w:t>
            </w:r>
          </w:p>
        </w:tc>
      </w:tr>
      <w:tr>
        <w:tc>
          <w:tcPr>
            <w:tcW w:type="dxa" w:w="2250"/>
          </w:tcPr>
          <w:p>
            <w:r>
              <w:t xml:space="preserve">Tahun III</w:t>
            </w:r>
          </w:p>
        </w:tc>
        <w:tc>
          <w:tcPr>
            <w:tcW w:type="dxa" w:w="2250"/>
          </w:tcPr>
          <w:p>
            <w:r>
              <w:t xml:space="preserve">Mengelola kasus dengan komorbiditas ganda (sindrom metabolik) dan kecurigaan penyebab sekunder.</w:t>
            </w:r>
          </w:p>
        </w:tc>
        <w:tc>
          <w:tcPr>
            <w:tcW w:type="dxa" w:w="2250"/>
          </w:tcPr>
          <w:p>
            <w:r>
              <w:t xml:space="preserve">Mandiri dengan supervisi berkala.</w:t>
            </w:r>
          </w:p>
        </w:tc>
        <w:tc>
          <w:tcPr>
            <w:tcW w:type="dxa" w:w="2250"/>
          </w:tcPr>
          <w:p>
            <w:r>
              <w:t xml:space="preserve">Mampu merancang rencana terpadu lintas-penyakit dan menentukan waktu rujukan yang tepat.</w:t>
            </w:r>
          </w:p>
        </w:tc>
      </w:tr>
      <w:tr>
        <w:tc>
          <w:tcPr>
            <w:tcW w:type="dxa" w:w="2250"/>
          </w:tcPr>
          <w:p>
            <w:r>
              <w:t xml:space="preserve">Tahun IV</w:t>
            </w:r>
          </w:p>
        </w:tc>
        <w:tc>
          <w:tcPr>
            <w:tcW w:type="dxa" w:w="2250"/>
          </w:tcPr>
          <w:p>
            <w:r>
              <w:t xml:space="preserve">Mengelola populasi terdaftar (register) penyakit kronik dan menyusun program pencegahan primer di wilayah kerja.</w:t>
            </w:r>
          </w:p>
        </w:tc>
        <w:tc>
          <w:tcPr>
            <w:tcW w:type="dxa" w:w="2250"/>
          </w:tcPr>
          <w:p>
            <w:r>
              <w:t xml:space="preserve">Mandiri penuh, peran pengorganisasi layanan kronik.</w:t>
            </w:r>
          </w:p>
        </w:tc>
        <w:tc>
          <w:tcPr>
            <w:tcW w:type="dxa" w:w="2250"/>
          </w:tcPr>
          <w:p>
            <w:r>
              <w:t xml:space="preserve">Mampu mengevaluasi mutu pengelolaan penyakit kronik pada level klinik/populasi.</w:t>
            </w:r>
          </w:p>
        </w:tc>
      </w:tr>
    </w:tbl>
    <w:p>
      <w:pPr>
        <w:spacing w:after="160"/>
      </w:pPr>
    </w:p>
    <w:p>
      <w:pPr>
        <w:pStyle w:val="Heading1"/>
        <w:spacing w:after="150" w:before="300"/>
      </w:pPr>
      <w:r>
        <w:t xml:space="preserve">BAB VII-B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Dari sekian pasien hipertensi saya, berapa persen yang benar-benar terkonfirmasi lewat pengukuran berulang, bukan satu kali ukur?</w:t>
      </w:r>
    </w:p>
    <w:p>
      <w:pPr>
        <w:pStyle w:val="ListParagraph"/>
        <w:numPr>
          <w:ilvl w:val="0"/>
          <w:numId w:val="1"/>
        </w:numPr>
        <w:spacing w:after="90"/>
      </w:pPr>
      <w:r>
        <w:t xml:space="preserve">Sudahkah saya menapis penyebab sekunder pada pasien muda dengan hipertensi berat, atau langsung menambah obat?</w:t>
      </w:r>
    </w:p>
    <w:p>
      <w:pPr>
        <w:pStyle w:val="ListParagraph"/>
        <w:numPr>
          <w:ilvl w:val="0"/>
          <w:numId w:val="1"/>
        </w:numPr>
        <w:spacing w:after="90"/>
      </w:pPr>
      <w:r>
        <w:t xml:space="preserve">Apakah edukasi swakelola diabetes yang saya berikan disesuaikan dengan kebiasaan makan keluarga pasien, atau leaflet generik?</w:t>
      </w:r>
    </w:p>
    <w:p>
      <w:pPr>
        <w:pStyle w:val="ListParagraph"/>
        <w:numPr>
          <w:ilvl w:val="0"/>
          <w:numId w:val="1"/>
        </w:numPr>
        <w:spacing w:after="90"/>
      </w:pPr>
      <w:r>
        <w:t xml:space="preserve">Kapan terakhir saya membicarakan berat badan pasien tanpa membuatnya merasa dihakimi?</w:t>
      </w:r>
    </w:p>
    <w:p>
      <w:pPr>
        <w:pStyle w:val="ListParagraph"/>
        <w:numPr>
          <w:ilvl w:val="0"/>
          <w:numId w:val="1"/>
        </w:numPr>
        <w:spacing w:after="90"/>
      </w:pPr>
      <w:r>
        <w:t xml:space="preserve">Apakah saya punya cara memantau siapa saja pasien kronik saya yang "hilang kontrol" (lost to follow-up)?</w:t>
      </w:r>
    </w:p>
    <w:p>
      <w:pPr>
        <w:pStyle w:val="Heading1"/>
        <w:spacing w:after="150" w:before="300"/>
      </w:pPr>
      <w:r>
        <w:t xml:space="preserve">BAB VIII — PENUTUP</w:t>
      </w:r>
    </w:p>
    <w:p>
      <w:pPr>
        <w:spacing w:after="160"/>
        <w:jc w:val="both"/>
      </w:pPr>
      <w:r>
        <w:t xml:space="preserve">Penguasaan pengelolaan penyakit kardiovaskular dan metabolik menjadi dasar bagi buku-buku tematik berikutnya yang membahas kelompok penyakit lain di layanan primer, dengan prinsip pemantauan berkesinambungan dan pendekatan family-centered yang sama.</w:t>
      </w:r>
    </w:p>
    <w:p>
      <w:pPr>
        <w:pStyle w:val="Heading2"/>
        <w:spacing w:after="120" w:before="250"/>
      </w:pPr>
      <w:r>
        <w:t xml:space="preserve">Glosarium</w:t>
      </w:r>
    </w:p>
    <w:p>
      <w:pPr>
        <w:spacing w:after="90"/>
      </w:pPr>
      <w:r>
        <w:rPr>
          <w:b/>
          <w:bCs/>
        </w:rPr>
        <w:t xml:space="preserve">Sindrom Metabolik — </w:t>
      </w:r>
      <w:r>
        <w:t xml:space="preserve">Kumpulan faktor risiko kardiovaskular yang muncul bersamaan: obesitas sentral, hipertensi, dislipidemia, dan resistensi insulin.</w:t>
      </w:r>
    </w:p>
    <w:p>
      <w:pPr>
        <w:spacing w:after="90"/>
      </w:pPr>
      <w:r>
        <w:rPr>
          <w:b/>
          <w:bCs/>
        </w:rPr>
        <w:t xml:space="preserve">HbA1c — </w:t>
      </w:r>
      <w:r>
        <w:t xml:space="preserve">Hemoglobin terglikasi, penanda kendali gula darah rata-rata 2-3 bulan terakhir.</w:t>
      </w:r>
    </w:p>
    <w:p>
      <w:pPr>
        <w:spacing w:after="90"/>
      </w:pPr>
      <w:r>
        <w:rPr>
          <w:b/>
          <w:bCs/>
        </w:rPr>
        <w:t xml:space="preserve">Risiko Kardiovaskular Total — </w:t>
      </w:r>
      <w:r>
        <w:t xml:space="preserve">Estimasi risiko kejadian kardiovaskular berdasarkan kombinasi faktor risiko, bukan satu faktor tunggal.</w:t>
      </w:r>
    </w:p>
    <w:p>
      <w:pPr>
        <w:spacing w:after="90"/>
      </w:pPr>
      <w:r>
        <w:rPr>
          <w:b/>
          <w:bCs/>
        </w:rPr>
        <w:t xml:space="preserve">Chronic Care Model — </w:t>
      </w:r>
      <w:r>
        <w:t xml:space="preserve">Kerangka pengelolaan penyakit kronik yang menekankan enam elemen sistem pelayanan yang saling terkait.</w:t>
      </w:r>
    </w:p>
    <w:p>
      <w:pPr>
        <w:spacing w:after="90"/>
      </w:pPr>
      <w:r>
        <w:rPr>
          <w:b/>
          <w:bCs/>
        </w:rPr>
        <w:t xml:space="preserve">Hipertensi Sekunder — </w:t>
      </w:r>
      <w:r>
        <w:t xml:space="preserve">Hipertensi yang disebabkan kondisi medis spesifik yang dapat diidentifikasi, berbeda dari hipertensi esensial/primer.</w:t>
      </w:r>
    </w:p>
    <w:p>
      <w:pPr>
        <w:spacing w:after="90"/>
      </w:pPr>
      <w:r>
        <w:rPr>
          <w:b/>
          <w:bCs/>
        </w:rPr>
        <w:t xml:space="preserve">Pencegahan Sekunder Kardiovaskular — </w:t>
      </w:r>
      <w:r>
        <w:t xml:space="preserve">Upaya mencegah kejadian kardiovaskular berulang pada pasien yang telah mengalami kejadian sebelumnya.</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ambang diagnostik dan target terapi kardiovaskular-metabolik dalam buku ini bersifat umum; pembaca disarankan merujuk pedoman edisi berlaku dari PERKENI, InaSH, dan PERKI.</w:t>
      </w:r>
    </w:p>
    <w:p>
      <w:pPr>
        <w:spacing w:after="90"/>
        <w:ind w:left="360" w:hanging="360"/>
      </w:pPr>
      <w:r>
        <w:t xml:space="preserve">Wagner EH, et al. Chronic Care Model — dicantumkan sebagai kerangka konseptual umum; edisi/sumber primer spesifik belum diverifikasi pada edisi 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2026-07-18T16:15:58.082Z</dcterms:created>
  <dcterms:modified xsi:type="dcterms:W3CDTF">2026-07-18T16:15:58.083Z</dcterms:modified>
</cp:coreProperties>
</file>

<file path=docProps/custom.xml><?xml version="1.0" encoding="utf-8"?>
<Properties xmlns="http://schemas.openxmlformats.org/officeDocument/2006/custom-properties" xmlns:vt="http://schemas.openxmlformats.org/officeDocument/2006/docPropsVTypes"/>
</file>