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B19 · PERPUSTAKAAN DIGITAL ABBA</w:t>
      </w:r>
    </w:p>
    <w:p>
      <w:pPr>
        <w:pStyle w:val="Title"/>
        <w:spacing w:after="120"/>
      </w:pPr>
      <w:r>
        <w:t xml:space="preserve">Perawatan Paliatif dan Hospis di Layanan Primer</w:t>
      </w:r>
    </w:p>
    <w:p>
      <w:pPr>
        <w:spacing w:after="300"/>
      </w:pPr>
      <w:r>
        <w:rPr>
          <w:i/>
          <w:iCs/>
          <w:color w:val="5B6478"/>
          <w:sz w:val="20"/>
          <w:szCs w:val="20"/>
        </w:rPr>
        <w:t xml:space="preserve">Dr.dr. H. Budi Siswanto, Sp.OG, Subsp.Obginsos., SH., S.Kom. · 2026</w:t>
      </w:r>
    </w:p>
    <w:p>
      <w:pPr>
        <w:pStyle w:val="Heading1"/>
        <w:spacing w:after="120" w:before="300"/>
      </w:pPr>
      <w:r>
        <w:t xml:space="preserve">BAB I — Perawatan Paliatif sebagai Hak, Bukan Pilihan Terakhir</w:t>
      </w:r>
    </w:p>
    <w:p>
      <w:pPr>
        <w:pStyle w:val="Heading2"/>
        <w:spacing w:after="80" w:before="160"/>
      </w:pPr>
      <w:r>
        <w:t xml:space="preserve">Definisi WHO tentang Perawatan Paliatif</w:t>
      </w:r>
    </w:p>
    <w:p>
      <w:pPr>
        <w:spacing w:after="120"/>
      </w:pPr>
      <w:r>
        <w:rPr>
          <w:i/>
          <w:iCs/>
          <w:sz w:val="22"/>
          <w:szCs w:val="22"/>
        </w:rPr>
        <w:t xml:space="preserve">WHO mendefinisikan perawatan paliatif sebagai pendekatan yang meningkatkan kualitas hidup pasien dan keluarga yang menghadapi masalah terkait penyakit yang mengancam jiwa, melalui pencegahan dan peredaan penderitaan dengan identifikasi dini, penilaian, dan tata laksana nyeri serta masalah fisik, psikososial, dan spiritual lainnya.</w:t>
      </w:r>
    </w:p>
    <w:p>
      <w:pPr>
        <w:spacing w:after="120"/>
      </w:pPr>
      <w:r>
        <w:rPr>
          <w:i w:val="false"/>
          <w:iCs w:val="false"/>
          <w:sz w:val="22"/>
          <w:szCs w:val="22"/>
        </w:rPr>
        <w:t xml:space="preserve">WHO memperkirakan hanya sekitar 14% orang yang membutuhkan perawatan paliatif di seluruh dunia yang benar-benar menerimanya, dengan kesenjangan terbesar terjadi di negara berpenghasilan rendah dan menengah.</w:t>
      </w:r>
    </w:p>
    <w:p>
      <w:pPr>
        <w:pStyle w:val="Heading2"/>
        <w:spacing w:after="80" w:before="160"/>
      </w:pPr>
      <w:r>
        <w:t xml:space="preserve">Meluruskan Kesalahpahaman: Paliatif Bukan Menyerah</w:t>
      </w:r>
    </w:p>
    <w:p>
      <w:pPr>
        <w:spacing w:after="120"/>
      </w:pPr>
      <w:r>
        <w:rPr>
          <w:i w:val="false"/>
          <w:iCs w:val="false"/>
          <w:sz w:val="22"/>
          <w:szCs w:val="22"/>
        </w:rPr>
        <w:t xml:space="preserve">Kesalahpahaman umum menempatkan paliatif sebagai 'menyerah' atau hanya relevan di hari-hari terakhir kehidupan. WHO menegaskan paliatif seharusnya dimulai sejak diagnosis penyakit yang membatasi hidup, berjalan bersamaan dengan terapi kuratif, bukan menggantikannya di akhir.</w:t>
      </w:r>
    </w:p>
    <w:p>
      <w:pPr>
        <w:pStyle w:val="Heading1"/>
        <w:spacing w:after="120" w:before="300"/>
      </w:pPr>
      <w:r>
        <w:t xml:space="preserve">BAB II — Peran Layanan Primer dalam Perawatan Paliatif</w:t>
      </w:r>
    </w:p>
    <w:p>
      <w:pPr>
        <w:pStyle w:val="Heading2"/>
        <w:spacing w:after="80" w:before="160"/>
      </w:pPr>
      <w:r>
        <w:t xml:space="preserve">Mayoritas Kebutuhan Dapat Dikelola di Layanan Primer</w:t>
      </w:r>
    </w:p>
    <w:p>
      <w:pPr>
        <w:spacing w:after="120"/>
      </w:pPr>
      <w:r>
        <w:rPr>
          <w:i w:val="false"/>
          <w:iCs w:val="false"/>
          <w:sz w:val="22"/>
          <w:szCs w:val="22"/>
        </w:rPr>
        <w:t xml:space="preserve">Mayoritas kebutuhan perawatan paliatif secara global tidak memerlukan spesialis paliatif — dapat dan seharusnya dikelola di layanan primer, dengan rujukan ke spesialis hanya untuk kasus kompleks.</w:t>
      </w:r>
    </w:p>
    <w:p>
      <w:pPr>
        <w:pStyle w:val="Heading2"/>
        <w:spacing w:after="80" w:before="160"/>
      </w:pPr>
      <w:r>
        <w:t xml:space="preserve">Keunggulan Relasi Jangka Panjang</w:t>
      </w:r>
    </w:p>
    <w:p>
      <w:pPr>
        <w:spacing w:after="120"/>
      </w:pPr>
      <w:r>
        <w:rPr>
          <w:i w:val="false"/>
          <w:iCs w:val="false"/>
          <w:sz w:val="22"/>
          <w:szCs w:val="22"/>
        </w:rPr>
        <w:t xml:space="preserve">Dokter layanan primer memiliki keunggulan unik: mengenal pasien dan keluarga dalam konteks jangka panjang, memungkinkan percakapan tentang tujuan perawatan yang lebih personal dibanding dokter rumah sakit yang baru bertemu pasien saat kondisi memburuk.</w:t>
      </w:r>
    </w:p>
    <w:p>
      <w:pPr>
        <w:pStyle w:val="Heading1"/>
        <w:spacing w:after="120" w:before="300"/>
      </w:pPr>
      <w:r>
        <w:t xml:space="preserve">BAB III — Manajemen Nyeri Dasar pada Perawatan Paliatif</w:t>
      </w:r>
    </w:p>
    <w:p>
      <w:pPr>
        <w:pStyle w:val="Heading2"/>
        <w:spacing w:after="80" w:before="160"/>
      </w:pPr>
      <w:r>
        <w:t xml:space="preserve">Tangga Analgesik WHO</w:t>
      </w:r>
    </w:p>
    <w:p>
      <w:pPr>
        <w:spacing w:after="120"/>
      </w:pPr>
      <w:r>
        <w:rPr>
          <w:i w:val="false"/>
          <w:iCs w:val="false"/>
          <w:sz w:val="22"/>
          <w:szCs w:val="22"/>
        </w:rPr>
        <w:t xml:space="preserve">Tangga analgesik WHO — dari analgesik non-opioid, opioid ringan, hingga opioid kuat, dengan penambahan adjuvan sesuai jenis nyeri — tetap menjadi kerangka dasar tata laksana nyeri paliatif meski telah mengalami berbagai penyempurnaan sejak diperkenalkan.</w:t>
      </w:r>
    </w:p>
    <w:p>
      <w:pPr>
        <w:pStyle w:val="Heading2"/>
        <w:spacing w:after="80" w:before="160"/>
      </w:pPr>
      <w:r>
        <w:t xml:space="preserve">Mengatasi Opiophobia</w:t>
      </w:r>
    </w:p>
    <w:p>
      <w:pPr>
        <w:spacing w:after="120"/>
      </w:pPr>
      <w:r>
        <w:rPr>
          <w:i w:val="false"/>
          <w:iCs w:val="false"/>
          <w:sz w:val="22"/>
          <w:szCs w:val="22"/>
        </w:rPr>
        <w:t xml:space="preserve">Ketakutan berlebihan terhadap penggunaan opioid, baik dari sisi tenaga kesehatan maupun pasien/keluarga, sering menyebabkan tata laksana nyeri yang tidak adekuat. Edukasi tentang perbedaan antara ketergantungan fisiologis yang wajar pada penggunaan jangka panjang dengan adiksi patologis penting disampaikan.</w:t>
      </w:r>
    </w:p>
    <w:p>
      <w:pPr>
        <w:pStyle w:val="Heading1"/>
        <w:spacing w:after="120" w:before="300"/>
      </w:pPr>
      <w:r>
        <w:t xml:space="preserve">BAB IV — Komunikasi Prognosis dan Tujuan Perawatan</w:t>
      </w:r>
    </w:p>
    <w:p>
      <w:pPr>
        <w:pStyle w:val="Heading2"/>
        <w:spacing w:after="80" w:before="160"/>
      </w:pPr>
      <w:r>
        <w:t xml:space="preserve">Kerangka SPIKES untuk Berita Buruk</w:t>
      </w:r>
    </w:p>
    <w:p>
      <w:pPr>
        <w:spacing w:after="120"/>
      </w:pPr>
      <w:r>
        <w:rPr>
          <w:i w:val="false"/>
          <w:iCs w:val="false"/>
          <w:sz w:val="22"/>
          <w:szCs w:val="22"/>
        </w:rPr>
        <w:t xml:space="preserve">Percakapan tentang prognosis dan tujuan perawatan merupakan keterampilan klinis yang memerlukan latihan eksplisit, bukan sekadar kemampuan alami dokter berempati. Kerangka SPIKES (Setting, Perception, Invitation, Knowledge, Emotion, Strategy/Summary) sering digunakan sebagai panduan struktur percakapan berita buruk.</w:t>
      </w:r>
    </w:p>
    <w:p>
      <w:pPr>
        <w:pStyle w:val="Heading2"/>
        <w:spacing w:after="80" w:before="160"/>
      </w:pPr>
      <w:r>
        <w:t xml:space="preserve">Perencanaan Perawatan Lanjutan</w:t>
      </w:r>
    </w:p>
    <w:p>
      <w:pPr>
        <w:spacing w:after="120"/>
      </w:pPr>
      <w:r>
        <w:rPr>
          <w:i w:val="false"/>
          <w:iCs w:val="false"/>
          <w:sz w:val="22"/>
          <w:szCs w:val="22"/>
        </w:rPr>
        <w:t xml:space="preserve">Diskusi tentang preferensi perawatan lanjutan — termasuk keinginan pasien tentang resusitasi, tempat perawatan akhir hayat, dan siapa yang akan mengambil keputusan bila pasien tidak lagi mampu — idealnya dilakukan saat pasien masih dalam kondisi kognitif baik, bukan ditunda hingga krisis.</w:t>
      </w:r>
    </w:p>
    <w:p>
      <w:pPr>
        <w:pStyle w:val="Heading1"/>
        <w:spacing w:after="120" w:before="300"/>
      </w:pPr>
      <w:r>
        <w:t xml:space="preserve">BAB V — Gejala Non-Nyeri pada Perawatan Paliatif</w:t>
      </w:r>
    </w:p>
    <w:p>
      <w:pPr>
        <w:pStyle w:val="Heading2"/>
        <w:spacing w:after="80" w:before="160"/>
      </w:pPr>
      <w:r>
        <w:t xml:space="preserve">Gejala Fisik Selain Nyeri</w:t>
      </w:r>
    </w:p>
    <w:p>
      <w:pPr>
        <w:spacing w:after="120"/>
      </w:pPr>
      <w:r>
        <w:rPr>
          <w:i w:val="false"/>
          <w:iCs w:val="false"/>
          <w:sz w:val="22"/>
          <w:szCs w:val="22"/>
        </w:rPr>
        <w:t xml:space="preserve">Selain nyeri, gejala paliatif umum meliputi sesak napas, mual-muntah, konstipasi (terutama terkait penggunaan opioid), kelelahan, dan gangguan tidur — masing-masing memerlukan pendekatan tata laksana spesifik.</w:t>
      </w:r>
    </w:p>
    <w:p>
      <w:pPr>
        <w:pStyle w:val="Heading2"/>
        <w:spacing w:after="80" w:before="160"/>
      </w:pPr>
      <w:r>
        <w:t xml:space="preserve">Skrining Gejala Psikologis</w:t>
      </w:r>
    </w:p>
    <w:p>
      <w:pPr>
        <w:spacing w:after="120"/>
      </w:pPr>
      <w:r>
        <w:rPr>
          <w:i w:val="false"/>
          <w:iCs w:val="false"/>
          <w:sz w:val="22"/>
          <w:szCs w:val="22"/>
        </w:rPr>
        <w:t xml:space="preserve">Gejala psikologis seperti kecemasan menjelang kematian dan depresi juga memerlukan skrining aktif, mengingat pasien dengan penyakit terminal sering enggan menyampaikan tekanan psikologis secara spontan karena tidak ingin membebani keluarga.</w:t>
      </w:r>
    </w:p>
    <w:p>
      <w:pPr>
        <w:pStyle w:val="Heading1"/>
        <w:spacing w:after="120" w:before="300"/>
      </w:pPr>
      <w:r>
        <w:t xml:space="preserve">BAB VI — Dukungan Keluarga dan Perawatan di Rumah</w:t>
      </w:r>
    </w:p>
    <w:p>
      <w:pPr>
        <w:pStyle w:val="Heading2"/>
        <w:spacing w:after="80" w:before="160"/>
      </w:pPr>
      <w:r>
        <w:t xml:space="preserve">Edukasi Praktis bagi Caregiver</w:t>
      </w:r>
    </w:p>
    <w:p>
      <w:pPr>
        <w:spacing w:after="120"/>
      </w:pPr>
      <w:r>
        <w:rPr>
          <w:i w:val="false"/>
          <w:iCs w:val="false"/>
          <w:sz w:val="22"/>
          <w:szCs w:val="22"/>
        </w:rPr>
        <w:t xml:space="preserve">Perawatan paliatif di rumah memerlukan dukungan sistematis bagi keluarga sebagai caregiver utama — edukasi praktis perawatan dasar, dukungan emosional menghadapi beban caregiving, dan jalur komunikasi jelas untuk situasi darurat.</w:t>
      </w:r>
    </w:p>
    <w:p>
      <w:pPr>
        <w:pStyle w:val="Heading2"/>
        <w:spacing w:after="80" w:before="160"/>
      </w:pPr>
      <w:r>
        <w:t xml:space="preserve">Skrining Burnout Caregiver</w:t>
      </w:r>
    </w:p>
    <w:p>
      <w:pPr>
        <w:spacing w:after="120"/>
      </w:pPr>
      <w:r>
        <w:rPr>
          <w:i w:val="false"/>
          <w:iCs w:val="false"/>
          <w:sz w:val="22"/>
          <w:szCs w:val="22"/>
        </w:rPr>
        <w:t xml:space="preserve">Burnout caregiver keluarga merupakan risiko nyata yang sering luput dari perhatian tenaga kesehatan yang fokus penuh pada pasien; skrining kesejahteraan caregiver perlu menjadi bagian rutin kunjungan paliatif rumah.</w:t>
      </w:r>
    </w:p>
    <w:p>
      <w:pPr>
        <w:pStyle w:val="Heading1"/>
        <w:spacing w:after="120" w:before="300"/>
      </w:pPr>
      <w:r>
        <w:t xml:space="preserve">BAB VII — Dukungan Duka Cita Pasca-Kematian</w:t>
      </w:r>
    </w:p>
    <w:p>
      <w:pPr>
        <w:pStyle w:val="Heading2"/>
        <w:spacing w:after="80" w:before="160"/>
      </w:pPr>
      <w:r>
        <w:t xml:space="preserve">Kontinuitas Kepedulian Setelah Pasien Meninggal</w:t>
      </w:r>
    </w:p>
    <w:p>
      <w:pPr>
        <w:spacing w:after="120"/>
      </w:pPr>
      <w:r>
        <w:rPr>
          <w:i w:val="false"/>
          <w:iCs w:val="false"/>
          <w:sz w:val="22"/>
          <w:szCs w:val="22"/>
        </w:rPr>
        <w:t xml:space="preserve">Peran dokter layanan primer idealnya tidak berakhir saat pasien meninggal — dukungan duka cita bagi keluarga yang ditinggalkan, termasuk pengenalan tanda duka cita kompleks yang memerlukan rujukan kesehatan mental, merupakan bagian dari kontinuitas perawatan paliatif yang utuh.</w:t>
      </w:r>
    </w:p>
    <w:p>
      <w:pPr>
        <w:pStyle w:val="Heading1"/>
        <w:spacing w:after="120" w:before="300"/>
      </w:pPr>
      <w:r>
        <w:t xml:space="preserve">BAB VIII — Penjenjangan Capaian Pembelajaran Tahun I–IV</w:t>
      </w:r>
    </w:p>
    <w:p>
      <w:pPr>
        <w:spacing w:after="140"/>
      </w:pPr>
      <w:r>
        <w:rPr>
          <w:sz w:val="22"/>
          <w:szCs w:val="22"/>
        </w:rPr>
        <w:t xml:space="preserve">Penjenjangan berikut merupakan usulan kerangka penahapan berbasis pola umum pendidikan spesialis empat tahun, disesuaikan dengan komponen kompetensi ke-13 pada Tabel 10 Kepkonsil No. HK.01.02/KKI/1318/2026.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c2749" w:val="clear"/>
          </w:tcPr>
          <w:p>
            <w:r>
              <w:rPr>
                <w:b/>
                <w:bCs/>
                <w:color w:val="FFFFFF"/>
                <w:sz w:val="20"/>
                <w:szCs w:val="20"/>
              </w:rPr>
              <w:t xml:space="preserve">Tahun</w:t>
            </w:r>
          </w:p>
        </w:tc>
        <w:tc>
          <w:tcPr>
            <w:shd w:fill="1c2749" w:val="clear"/>
          </w:tcPr>
          <w:p>
            <w:r>
              <w:rPr>
                <w:b/>
                <w:bCs/>
                <w:color w:val="FFFFFF"/>
                <w:sz w:val="20"/>
                <w:szCs w:val="20"/>
              </w:rPr>
              <w:t xml:space="preserve">Fokus Belajar Utama</w:t>
            </w:r>
          </w:p>
        </w:tc>
        <w:tc>
          <w:tcPr>
            <w:shd w:fill="1c2749" w:val="clear"/>
          </w:tcPr>
          <w:p>
            <w:r>
              <w:rPr>
                <w:b/>
                <w:bCs/>
                <w:color w:val="FFFFFF"/>
                <w:sz w:val="20"/>
                <w:szCs w:val="20"/>
              </w:rPr>
              <w:t xml:space="preserve">Tingkat Kemandirian</w:t>
            </w:r>
          </w:p>
        </w:tc>
        <w:tc>
          <w:tcPr>
            <w:shd w:fill="1c2749" w:val="clear"/>
          </w:tcPr>
          <w:p>
            <w:r>
              <w:rPr>
                <w:b/>
                <w:bCs/>
                <w:color w:val="FFFFFF"/>
                <w:sz w:val="20"/>
                <w:szCs w:val="20"/>
              </w:rPr>
              <w:t xml:space="preserve">Capaian yang Diharapkan</w:t>
            </w:r>
          </w:p>
        </w:tc>
      </w:tr>
      <w:tr>
        <w:tc>
          <w:p>
            <w:r>
              <w:rPr>
                <w:sz w:val="19"/>
                <w:szCs w:val="19"/>
              </w:rPr>
              <w:t xml:space="preserve">Tahun I</w:t>
            </w:r>
          </w:p>
        </w:tc>
        <w:tc>
          <w:p>
            <w:r>
              <w:rPr>
                <w:sz w:val="19"/>
                <w:szCs w:val="19"/>
              </w:rPr>
              <w:t xml:space="preserve">Mengenali prinsip dasar tangga analgesik WHO dan mempraktikkan manajemen nyeri sederhana di bawah observasi.</w:t>
            </w:r>
          </w:p>
        </w:tc>
        <w:tc>
          <w:p>
            <w:r>
              <w:rPr>
                <w:sz w:val="19"/>
                <w:szCs w:val="19"/>
              </w:rPr>
              <w:t xml:space="preserve">Praktik selalu di bawah pengawasan langsung pembimbing klinis.</w:t>
            </w:r>
          </w:p>
        </w:tc>
        <w:tc>
          <w:p>
            <w:r>
              <w:rPr>
                <w:sz w:val="19"/>
                <w:szCs w:val="19"/>
              </w:rPr>
              <w:t xml:space="preserve">Mampu menerapkan tangga analgesik dasar dengan supervisi penuh.</w:t>
            </w:r>
          </w:p>
        </w:tc>
      </w:tr>
      <w:tr>
        <w:tc>
          <w:p>
            <w:r>
              <w:rPr>
                <w:sz w:val="19"/>
                <w:szCs w:val="19"/>
              </w:rPr>
              <w:t xml:space="preserve">Tahun II</w:t>
            </w:r>
          </w:p>
        </w:tc>
        <w:tc>
          <w:p>
            <w:r>
              <w:rPr>
                <w:sz w:val="19"/>
                <w:szCs w:val="19"/>
              </w:rPr>
              <w:t xml:space="preserve">Menerapkan percakapan tujuan perawatan dasar dan tata laksana gejala non-nyeri dengan bimbingan tidak langsung.</w:t>
            </w:r>
          </w:p>
        </w:tc>
        <w:tc>
          <w:p>
            <w:r>
              <w:rPr>
                <w:sz w:val="19"/>
                <w:szCs w:val="19"/>
              </w:rPr>
              <w:t xml:space="preserve">Supervisi tidak langsung; pembimbing dapat dihubungi sewaktu-waktu.</w:t>
            </w:r>
          </w:p>
        </w:tc>
        <w:tc>
          <w:p>
            <w:r>
              <w:rPr>
                <w:sz w:val="19"/>
                <w:szCs w:val="19"/>
              </w:rPr>
              <w:t xml:space="preserve">Mampu memfasilitasi diskusi perencanaan perawatan lanjutan dasar dan mengelola gejala paliatif umum.</w:t>
            </w:r>
          </w:p>
        </w:tc>
      </w:tr>
      <w:tr>
        <w:tc>
          <w:p>
            <w:r>
              <w:rPr>
                <w:sz w:val="19"/>
                <w:szCs w:val="19"/>
              </w:rPr>
              <w:t xml:space="preserve">Tahun III</w:t>
            </w:r>
          </w:p>
        </w:tc>
        <w:tc>
          <w:p>
            <w:r>
              <w:rPr>
                <w:sz w:val="19"/>
                <w:szCs w:val="19"/>
              </w:rPr>
              <w:t xml:space="preserve">Mengintegrasikan perawatan paliatif kompleks (nyeri sulit, dukungan keluarga intensif) secara mandiri.</w:t>
            </w:r>
          </w:p>
        </w:tc>
        <w:tc>
          <w:p>
            <w:r>
              <w:rPr>
                <w:sz w:val="19"/>
                <w:szCs w:val="19"/>
              </w:rPr>
              <w:t xml:space="preserve">Mandiri untuk kasus rutin; supervisi insidental untuk kasus kompleks.</w:t>
            </w:r>
          </w:p>
        </w:tc>
        <w:tc>
          <w:p>
            <w:r>
              <w:rPr>
                <w:sz w:val="19"/>
                <w:szCs w:val="19"/>
              </w:rPr>
              <w:t xml:space="preserve">Mampu memimpin perawatan paliatif rumah dan mendukung keluarga menghadapi burnout caregiving.</w:t>
            </w:r>
          </w:p>
        </w:tc>
      </w:tr>
      <w:tr>
        <w:tc>
          <w:p>
            <w:r>
              <w:rPr>
                <w:sz w:val="19"/>
                <w:szCs w:val="19"/>
              </w:rPr>
              <w:t xml:space="preserve">Tahun IV</w:t>
            </w:r>
          </w:p>
        </w:tc>
        <w:tc>
          <w:p>
            <w:r>
              <w:rPr>
                <w:sz w:val="19"/>
                <w:szCs w:val="19"/>
              </w:rPr>
              <w:t xml:space="preserve">Membimbing peserta didik junior dalam perawatan paliatif; menjadi rujukan internal wahana.</w:t>
            </w:r>
          </w:p>
        </w:tc>
        <w:tc>
          <w:p>
            <w:r>
              <w:rPr>
                <w:sz w:val="19"/>
                <w:szCs w:val="19"/>
              </w:rPr>
              <w:t xml:space="preserve">Otonomi penuh, termasuk tanggung jawab mengarahkan peserta didik baru.</w:t>
            </w:r>
          </w:p>
        </w:tc>
        <w:tc>
          <w:p>
            <w:r>
              <w:rPr>
                <w:sz w:val="19"/>
                <w:szCs w:val="19"/>
              </w:rPr>
              <w:t xml:space="preserve">Mampu mengaudit mutu perawatan paliatif dan dukungan duka cita oleh peserta didik lain.</w:t>
            </w:r>
          </w:p>
        </w:tc>
      </w:tr>
    </w:tbl>
    <w:p>
      <w:pPr>
        <w:spacing w:after="200"/>
      </w:pPr>
    </w:p>
    <w:p>
      <w:pPr>
        <w:pStyle w:val="Heading1"/>
        <w:spacing w:after="120" w:before="200"/>
      </w:pPr>
      <w:r>
        <w:t xml:space="preserve">BAB IX — Evaluasi Diri dan Pertanyaan Reflektif</w:t>
      </w:r>
    </w:p>
    <w:p>
      <w:pPr>
        <w:spacing w:after="100"/>
      </w:pPr>
      <w:r>
        <w:rPr>
          <w:sz w:val="22"/>
          <w:szCs w:val="22"/>
        </w:rPr>
        <w:t xml:space="preserve">• Apakah saya memahami bahwa paliatif seharusnya dimulai sejak diagnosis, bukan hanya di akhir hayat?</w:t>
      </w:r>
    </w:p>
    <w:p>
      <w:pPr>
        <w:spacing w:after="100"/>
      </w:pPr>
      <w:r>
        <w:rPr>
          <w:sz w:val="22"/>
          <w:szCs w:val="22"/>
        </w:rPr>
        <w:t xml:space="preserve">• Apakah saya nyaman menggunakan tangga analgesik WHO termasuk opioid bila diperlukan?</w:t>
      </w:r>
    </w:p>
    <w:p>
      <w:pPr>
        <w:spacing w:after="100"/>
      </w:pPr>
      <w:r>
        <w:rPr>
          <w:sz w:val="22"/>
          <w:szCs w:val="22"/>
        </w:rPr>
        <w:t xml:space="preserve">• Apakah saya memiliki kerangka terstruktur (seperti SPIKES) untuk percakapan prognosis?</w:t>
      </w:r>
    </w:p>
    <w:p>
      <w:pPr>
        <w:spacing w:after="100"/>
      </w:pPr>
      <w:r>
        <w:rPr>
          <w:sz w:val="22"/>
          <w:szCs w:val="22"/>
        </w:rPr>
        <w:t xml:space="preserve">• Apakah saya secara rutin menskrining kesejahteraan caregiver keluarga pasien paliatif?</w:t>
      </w:r>
    </w:p>
    <w:p>
      <w:pPr>
        <w:spacing w:after="100"/>
      </w:pPr>
      <w:r>
        <w:rPr>
          <w:sz w:val="22"/>
          <w:szCs w:val="22"/>
        </w:rPr>
        <w:t xml:space="preserve">• Apakah saya memiliki mekanisme dukungan duka cita pasca-kematian pasien?</w:t>
      </w:r>
    </w:p>
    <w:p>
      <w:pPr>
        <w:pStyle w:val="Heading1"/>
        <w:spacing w:after="120" w:before="300"/>
      </w:pPr>
      <w:r>
        <w:t xml:space="preserve">BAB X — Penutup</w:t>
      </w:r>
    </w:p>
    <w:p>
      <w:pPr>
        <w:spacing w:after="140"/>
      </w:pPr>
      <w:r>
        <w:rPr>
          <w:sz w:val="22"/>
          <w:szCs w:val="22"/>
        </w:rPr>
        <w:t xml:space="preserve">Perawatan paliatif melengkapi B6 dan B15 — banyak pasien lansia dengan penyakit degeneratif lanjut memerlukan transisi terencana menuju perawatan paliatif, bukan keputusan mendadak di saat krisis.</w:t>
      </w:r>
    </w:p>
    <w:p>
      <w:pPr>
        <w:spacing w:after="200"/>
      </w:pPr>
      <w:r>
        <w:rPr>
          <w:sz w:val="22"/>
          <w:szCs w:val="22"/>
        </w:rPr>
        <w:t xml:space="preserve">Buku ini disusun merujuk pada standar nasional (Tabel 10 Kepkonsil No. HK.01.02/KKI/1318/2026, komponen kompetensi ke-13) dan standar internasional dari World Health Organization — Palliative Care Fact Sheet (https://www.who.int/news-room/fact-sheets/detail/palliative-care).</w:t>
      </w:r>
    </w:p>
    <w:p>
      <w:pPr>
        <w:spacing w:after="100" w:before="100"/>
      </w:pPr>
      <w:r>
        <w:rPr>
          <w:b/>
          <w:bCs/>
          <w:color w:val="1c2749"/>
          <w:sz w:val="24"/>
          <w:szCs w:val="24"/>
        </w:rPr>
        <w:t xml:space="preserve">Glosarium</w:t>
      </w:r>
    </w:p>
    <w:p>
      <w:pPr>
        <w:spacing w:after="20"/>
      </w:pPr>
      <w:r>
        <w:rPr>
          <w:b/>
          <w:bCs/>
          <w:sz w:val="21"/>
          <w:szCs w:val="21"/>
        </w:rPr>
        <w:t xml:space="preserve">Perawatan paliatif</w:t>
      </w:r>
    </w:p>
    <w:p>
      <w:pPr>
        <w:spacing w:after="100"/>
      </w:pPr>
      <w:r>
        <w:rPr>
          <w:color w:val="374151"/>
          <w:sz w:val="20"/>
          <w:szCs w:val="20"/>
        </w:rPr>
        <w:t xml:space="preserve">Pendekatan yang meningkatkan kualitas hidup pasien dan keluarga menghadapi penyakit mengancam jiwa melalui peredaan penderitaan fisik, psikososial, dan spiritual.</w:t>
      </w:r>
    </w:p>
    <w:p>
      <w:pPr>
        <w:spacing w:after="20"/>
      </w:pPr>
      <w:r>
        <w:rPr>
          <w:b/>
          <w:bCs/>
          <w:sz w:val="21"/>
          <w:szCs w:val="21"/>
        </w:rPr>
        <w:t xml:space="preserve">Tangga analgesik WHO</w:t>
      </w:r>
    </w:p>
    <w:p>
      <w:pPr>
        <w:spacing w:after="100"/>
      </w:pPr>
      <w:r>
        <w:rPr>
          <w:color w:val="374151"/>
          <w:sz w:val="20"/>
          <w:szCs w:val="20"/>
        </w:rPr>
        <w:t xml:space="preserve">Kerangka bertahap tata laksana nyeri dari analgesik non-opioid hingga opioid kuat sesuai tingkat keparahan.</w:t>
      </w:r>
    </w:p>
    <w:p>
      <w:pPr>
        <w:spacing w:after="100" w:before="100"/>
      </w:pPr>
      <w:r>
        <w:rPr>
          <w:b/>
          <w:bCs/>
          <w:color w:val="1c2749"/>
          <w:sz w:val="24"/>
          <w:szCs w:val="24"/>
        </w:rPr>
        <w:t xml:space="preserve">Daftar Pustaka</w:t>
      </w:r>
    </w:p>
    <w:p>
      <w:pPr>
        <w:spacing w:after="80"/>
      </w:pPr>
      <w:r>
        <w:rPr>
          <w:sz w:val="20"/>
          <w:szCs w:val="20"/>
        </w:rPr>
        <w:t xml:space="preserve">1. World Health Organization. Palliative Care. Fact sheet. https://www.who.int/news-room/fact-sheets/detail/palliative-care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2026-08-27T03:32:34.701Z</dcterms:created>
  <dcterms:modified xsi:type="dcterms:W3CDTF">2026-08-27T03:32:34.701Z</dcterms:modified>
</cp:coreProperties>
</file>

<file path=docProps/custom.xml><?xml version="1.0" encoding="utf-8"?>
<Properties xmlns="http://schemas.openxmlformats.org/officeDocument/2006/custom-properties" xmlns:vt="http://schemas.openxmlformats.org/officeDocument/2006/docPropsVTypes"/>
</file>