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</w:pPr>
      <w:r>
        <w:rPr>
          <w:b/>
          <w:bCs/>
          <w:color w:val="6B7280"/>
          <w:sz w:val="18"/>
          <w:szCs w:val="18"/>
        </w:rPr>
        <w:t xml:space="preserve">DOKUMEN B18 · PERPUSTAKAAN DIGITAL ABBA</w:t>
      </w:r>
    </w:p>
    <w:p>
      <w:pPr>
        <w:pStyle w:val="Title"/>
        <w:spacing w:after="120"/>
      </w:pPr>
      <w:r>
        <w:t xml:space="preserve">Kompetensi Budaya dalam Konseling Perubahan Gaya Hidup</w:t>
      </w:r>
    </w:p>
    <w:p>
      <w:pPr>
        <w:spacing w:after="300"/>
      </w:pPr>
      <w:r>
        <w:rPr>
          <w:i/>
          <w:iCs/>
          <w:color w:val="5B6478"/>
          <w:sz w:val="20"/>
          <w:szCs w:val="20"/>
        </w:rPr>
        <w:t xml:space="preserve">Dr.dr. H. Budi Siswanto, Sp.OG, Subsp.Obginsos., SH., S.Kom. · 2026</w:t>
      </w:r>
    </w:p>
    <w:p>
      <w:pPr>
        <w:pStyle w:val="Heading1"/>
        <w:spacing w:after="120" w:before="300"/>
      </w:pPr>
      <w:r>
        <w:t xml:space="preserve">BAB I — Mengapa Kompetensi Budaya Menentukan Keberhasilan Konseling</w:t>
      </w:r>
    </w:p>
    <w:p>
      <w:pPr>
        <w:pStyle w:val="Heading2"/>
        <w:spacing w:after="80" w:before="160"/>
      </w:pPr>
      <w:r>
        <w:t xml:space="preserve">Rekomendasi Identik, Penerimaan Berbeda</w:t>
      </w:r>
    </w:p>
    <w:p>
      <w:pPr>
        <w:spacing w:after="120"/>
      </w:pPr>
      <w:r>
        <w:rPr>
          <w:i/>
          <w:iCs/>
          <w:sz w:val="22"/>
          <w:szCs w:val="22"/>
        </w:rPr>
        <w:t xml:space="preserve">Rekomendasi gaya hidup yang identik dapat diterima sangat berbeda oleh pasien dengan latar belakang budaya, ekonomi, dan kepercayaan berbeda. Anjuran yang mengabaikan pantangan budaya/agama berisiko tidak pernah dijalankan meski secara medis benar.</w:t>
      </w:r>
    </w:p>
    <w:p>
      <w:pPr>
        <w:pStyle w:val="Heading2"/>
        <w:spacing w:after="80" w:before="160"/>
      </w:pPr>
      <w:r>
        <w:t xml:space="preserve">Kompetensi Budaya sebagai Keterampilan Klinis</w:t>
      </w:r>
    </w:p>
    <w:p>
      <w:pPr>
        <w:spacing w:after="120"/>
      </w:pPr>
      <w:r>
        <w:rPr>
          <w:i w:val="false"/>
          <w:iCs w:val="false"/>
          <w:sz w:val="22"/>
          <w:szCs w:val="22"/>
        </w:rPr>
        <w:t xml:space="preserve">Kompetensi budaya bukan sekadar 'sopan santun terhadap perbedaan', melainkan keterampilan klinis yang secara langsung memengaruhi efektivitas terapi — pasien yang merasa nilai budayanya tidak dihormati cenderung tidak terbuka tentang hambatan nyata yang dihadapi.</w:t>
      </w:r>
    </w:p>
    <w:p>
      <w:pPr>
        <w:pStyle w:val="Heading1"/>
        <w:spacing w:after="120" w:before="300"/>
      </w:pPr>
      <w:r>
        <w:t xml:space="preserve">BAB II — Kerangka National CLAS Standards</w:t>
      </w:r>
    </w:p>
    <w:p>
      <w:pPr>
        <w:pStyle w:val="Heading2"/>
        <w:spacing w:after="80" w:before="160"/>
      </w:pPr>
      <w:r>
        <w:t xml:space="preserve">Struktur 15 Standar dan Tiga Tema</w:t>
      </w:r>
    </w:p>
    <w:p>
      <w:pPr>
        <w:spacing w:after="120"/>
      </w:pPr>
      <w:r>
        <w:rPr>
          <w:i w:val="false"/>
          <w:iCs w:val="false"/>
          <w:sz w:val="22"/>
          <w:szCs w:val="22"/>
        </w:rPr>
        <w:t xml:space="preserve">National CLAS Standards dari HHS Office of Minority Health menyediakan kerangka 15 standar, dengan 1 Prinsip Utama (Standar 1) sebagai fondasi, diikuti tiga tema: Tata Kelola-Kepemimpinan-Tenaga Kerja; Komunikasi dan Bantuan Bahasa; serta Keterlibatan, Peningkatan Berkelanjutan, dan Akuntabilitas.</w:t>
      </w:r>
    </w:p>
    <w:p>
      <w:pPr>
        <w:pStyle w:val="Heading2"/>
        <w:spacing w:after="80" w:before="160"/>
      </w:pPr>
      <w:r>
        <w:t xml:space="preserve">Relevansi Universal bagi Konteks Indonesia</w:t>
      </w:r>
    </w:p>
    <w:p>
      <w:pPr>
        <w:spacing w:after="120"/>
      </w:pPr>
      <w:r>
        <w:rPr>
          <w:i w:val="false"/>
          <w:iCs w:val="false"/>
          <w:sz w:val="22"/>
          <w:szCs w:val="22"/>
        </w:rPr>
        <w:t xml:space="preserve">Meski dikembangkan dalam konteks Amerika Serikat, prinsip intinya — layanan yang responsif terhadap keyakinan, praktik, dan kebutuhan bahasa/budaya pasien — bersifat universal dan relevan diadaptasi untuk keberagaman etnis, agama, dan tradisi lokal Indonesia.</w:t>
      </w:r>
    </w:p>
    <w:p>
      <w:pPr>
        <w:pStyle w:val="Heading1"/>
        <w:spacing w:after="120" w:before="300"/>
      </w:pPr>
      <w:r>
        <w:t xml:space="preserve">BAB III — Mengenali Bias Implisit dalam Konseling Gaya Hidup</w:t>
      </w:r>
    </w:p>
    <w:p>
      <w:pPr>
        <w:pStyle w:val="Heading2"/>
        <w:spacing w:after="80" w:before="160"/>
      </w:pPr>
      <w:r>
        <w:t xml:space="preserve">Asumsi Tidak Sadar tentang Pasien</w:t>
      </w:r>
    </w:p>
    <w:p>
      <w:pPr>
        <w:spacing w:after="120"/>
      </w:pPr>
      <w:r>
        <w:rPr>
          <w:i w:val="false"/>
          <w:iCs w:val="false"/>
          <w:sz w:val="22"/>
          <w:szCs w:val="22"/>
        </w:rPr>
        <w:t xml:space="preserve">Dokter, seperti manusia pada umumnya, membawa asumsi tidak sadar tentang pasien berdasarkan penampilan, latar belakang etnis, atau status sosial-ekonomi. Asumsi ini dapat memengaruhi rekomendasi yang diberikan.</w:t>
      </w:r>
    </w:p>
    <w:p>
      <w:pPr>
        <w:pStyle w:val="Heading2"/>
        <w:spacing w:after="80" w:before="160"/>
      </w:pPr>
      <w:r>
        <w:t xml:space="preserve">Kesadaran Diri sebagai Langkah Pertama</w:t>
      </w:r>
    </w:p>
    <w:p>
      <w:pPr>
        <w:spacing w:after="120"/>
      </w:pPr>
      <w:r>
        <w:rPr>
          <w:i w:val="false"/>
          <w:iCs w:val="false"/>
          <w:sz w:val="22"/>
          <w:szCs w:val="22"/>
        </w:rPr>
        <w:t xml:space="preserve">Kesadaran diri aktif terhadap bias implisit — bukan penyangkalan bahwa bias ada — merupakan langkah pertama membangun kompetensi budaya yang otentik, bukan performatif.</w:t>
      </w:r>
    </w:p>
    <w:p>
      <w:pPr>
        <w:pStyle w:val="Heading1"/>
        <w:spacing w:after="120" w:before="300"/>
      </w:pPr>
      <w:r>
        <w:t xml:space="preserve">BAB IV — Negosiasi Rekomendasi dengan Kepercayaan Tradisional/Agama</w:t>
      </w:r>
    </w:p>
    <w:p>
      <w:pPr>
        <w:pStyle w:val="Heading2"/>
        <w:spacing w:after="80" w:before="160"/>
      </w:pPr>
      <w:r>
        <w:t xml:space="preserve">Interaksi Kepercayaan dengan Rekomendasi Medis</w:t>
      </w:r>
    </w:p>
    <w:p>
      <w:pPr>
        <w:spacing w:after="120"/>
      </w:pPr>
      <w:r>
        <w:rPr>
          <w:i w:val="false"/>
          <w:iCs w:val="false"/>
          <w:sz w:val="22"/>
          <w:szCs w:val="22"/>
        </w:rPr>
        <w:t xml:space="preserve">Banyak pasien Indonesia memegang kepercayaan tradisional atau agama yang berinteraksi dengan rekomendasi medis — pantangan makanan tertentu, keyakinan tentang penyebab penyakit, atau preferensi pengobatan tradisional bersamaan dengan medis konvensional.</w:t>
      </w:r>
    </w:p>
    <w:p>
      <w:pPr>
        <w:pStyle w:val="Heading2"/>
        <w:spacing w:after="80" w:before="160"/>
      </w:pPr>
      <w:r>
        <w:t xml:space="preserve">Bernegosiasi Mencari Titik Temu</w:t>
      </w:r>
    </w:p>
    <w:p>
      <w:pPr>
        <w:spacing w:after="120"/>
      </w:pPr>
      <w:r>
        <w:rPr>
          <w:i w:val="false"/>
          <w:iCs w:val="false"/>
          <w:sz w:val="22"/>
          <w:szCs w:val="22"/>
        </w:rPr>
        <w:t xml:space="preserve">Pendekatan yang efektif bukan menghakimi atau mengabaikan kepercayaan ini, melainkan bernegosiasi mencari titik temu — menyesuaikan rekomendasi nutrisi agar tetap sesuai pantangan agama tanpa mengorbankan substansi terapeutik.</w:t>
      </w:r>
    </w:p>
    <w:p>
      <w:pPr>
        <w:pStyle w:val="Heading1"/>
        <w:spacing w:after="120" w:before="300"/>
      </w:pPr>
      <w:r>
        <w:t xml:space="preserve">BAB V — Hambatan Bahasa dan Literasi Kesehatan</w:t>
      </w:r>
    </w:p>
    <w:p>
      <w:pPr>
        <w:pStyle w:val="Heading2"/>
        <w:spacing w:after="80" w:before="160"/>
      </w:pPr>
      <w:r>
        <w:t xml:space="preserve">Keberagaman Linguistik Indonesia</w:t>
      </w:r>
    </w:p>
    <w:p>
      <w:pPr>
        <w:spacing w:after="120"/>
      </w:pPr>
      <w:r>
        <w:rPr>
          <w:i w:val="false"/>
          <w:iCs w:val="false"/>
          <w:sz w:val="22"/>
          <w:szCs w:val="22"/>
        </w:rPr>
        <w:t xml:space="preserve">Perbedaan bahasa daerah dan tingkat literasi kesehatan yang bervariasi merupakan hambatan nyata komunikasi di Indonesia yang beragam secara linguistik.</w:t>
      </w:r>
    </w:p>
    <w:p>
      <w:pPr>
        <w:pStyle w:val="Heading2"/>
        <w:spacing w:after="80" w:before="160"/>
      </w:pPr>
      <w:r>
        <w:t xml:space="preserve">Teknik Teach-Back</w:t>
      </w:r>
    </w:p>
    <w:p>
      <w:pPr>
        <w:spacing w:after="120"/>
      </w:pPr>
      <w:r>
        <w:rPr>
          <w:i w:val="false"/>
          <w:iCs w:val="false"/>
          <w:sz w:val="22"/>
          <w:szCs w:val="22"/>
        </w:rPr>
        <w:t xml:space="preserve">Teknik teach-back — meminta pasien menjelaskan kembali dengan kata-kata sendiri apa yang dipahami dari instruksi dokter — merupakan cara sederhana memverifikasi pemahaman lintas hambatan bahasa dan literasi.</w:t>
      </w:r>
    </w:p>
    <w:p>
      <w:pPr>
        <w:pStyle w:val="Heading1"/>
        <w:spacing w:after="120" w:before="300"/>
      </w:pPr>
      <w:r>
        <w:t xml:space="preserve">BAB VI — Kompetensi Budaya dalam Konteks Ekonomi</w:t>
      </w:r>
    </w:p>
    <w:p>
      <w:pPr>
        <w:pStyle w:val="Heading2"/>
        <w:spacing w:after="80" w:before="160"/>
      </w:pPr>
      <w:r>
        <w:t xml:space="preserve">Rekomendasi yang Realistis Secara Ekonomi</w:t>
      </w:r>
    </w:p>
    <w:p>
      <w:pPr>
        <w:spacing w:after="120"/>
      </w:pPr>
      <w:r>
        <w:rPr>
          <w:i w:val="false"/>
          <w:iCs w:val="false"/>
          <w:sz w:val="22"/>
          <w:szCs w:val="22"/>
        </w:rPr>
        <w:t xml:space="preserve">Rekomendasi gaya hidup yang mengasumsikan akses ekonomi tertentu tanpa mempertimbangkan realitas ekonomi pasien akan gagal diikuti bukan karena kurangnya niat, melainkan karena tidak realistis.</w:t>
      </w:r>
    </w:p>
    <w:p>
      <w:pPr>
        <w:pStyle w:val="Heading2"/>
        <w:spacing w:after="80" w:before="160"/>
      </w:pPr>
      <w:r>
        <w:t xml:space="preserve">Sensitivitas Kelas Sosial-Ekonomi</w:t>
      </w:r>
    </w:p>
    <w:p>
      <w:pPr>
        <w:spacing w:after="120"/>
      </w:pPr>
      <w:r>
        <w:rPr>
          <w:i w:val="false"/>
          <w:iCs w:val="false"/>
          <w:sz w:val="22"/>
          <w:szCs w:val="22"/>
        </w:rPr>
        <w:t xml:space="preserve">Kompetensi budaya yang matang mencakup sensitivitas kelas sosial-ekonomi — menanyakan secara terbuka hambatan praktis pasien dan menyesuaikan rekomendasi agar layak dijalankan dalam kondisi nyata mereka.</w:t>
      </w:r>
    </w:p>
    <w:p>
      <w:pPr>
        <w:pStyle w:val="Heading1"/>
        <w:spacing w:after="120" w:before="300"/>
      </w:pPr>
      <w:r>
        <w:t xml:space="preserve">BAB VII — Membangun Kepercayaan Lintas Perbedaan</w:t>
      </w:r>
    </w:p>
    <w:p>
      <w:pPr>
        <w:pStyle w:val="Heading2"/>
        <w:spacing w:after="80" w:before="160"/>
      </w:pPr>
      <w:r>
        <w:t xml:space="preserve">Konsistensi dan Kejujuran</w:t>
      </w:r>
    </w:p>
    <w:p>
      <w:pPr>
        <w:spacing w:after="120"/>
      </w:pPr>
      <w:r>
        <w:rPr>
          <w:i w:val="false"/>
          <w:iCs w:val="false"/>
          <w:sz w:val="22"/>
          <w:szCs w:val="22"/>
        </w:rPr>
        <w:t xml:space="preserve">Kepercayaan pasien terhadap dokter yang berbeda latar belakang budaya dibangun melalui konsistensi, kejujuran mengakui keterbatasan pemahaman budaya tertentu, dan kesediaan bertanya alih-alih berasumsi.</w:t>
      </w:r>
    </w:p>
    <w:p>
      <w:pPr>
        <w:pStyle w:val="Heading1"/>
        <w:spacing w:after="120" w:before="300"/>
      </w:pPr>
      <w:r>
        <w:t xml:space="preserve">BAB VIII — Penjenjangan Capaian Pembelajaran Tahun I–IV</w:t>
      </w:r>
    </w:p>
    <w:p>
      <w:pPr>
        <w:spacing w:after="140"/>
      </w:pPr>
      <w:r>
        <w:rPr>
          <w:sz w:val="22"/>
          <w:szCs w:val="22"/>
        </w:rPr>
        <w:t xml:space="preserve">Penjenjangan berikut merupakan usulan kerangka penahapan berbasis pola umum pendidikan spesialis empat tahun, disesuaikan dengan komponen kompetensi ke-12 pada Tabel 10 Kepkonsil No. HK.01.02/KKI/1318/2026.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  <w:gridCol w:w="100"/>
      </w:tblGrid>
      <w:tr>
        <w:tc>
          <w:tcPr>
            <w:shd w:fill="1c2749" w:val="clear"/>
          </w:tcPr>
          <w:p>
            <w:r>
              <w:rPr>
                <w:b/>
                <w:bCs/>
                <w:color w:val="FFFFFF"/>
                <w:sz w:val="20"/>
                <w:szCs w:val="20"/>
              </w:rPr>
              <w:t xml:space="preserve">Tahun</w:t>
            </w:r>
          </w:p>
        </w:tc>
        <w:tc>
          <w:tcPr>
            <w:shd w:fill="1c2749" w:val="clear"/>
          </w:tcPr>
          <w:p>
            <w:r>
              <w:rPr>
                <w:b/>
                <w:bCs/>
                <w:color w:val="FFFFFF"/>
                <w:sz w:val="20"/>
                <w:szCs w:val="20"/>
              </w:rPr>
              <w:t xml:space="preserve">Fokus Belajar Utama</w:t>
            </w:r>
          </w:p>
        </w:tc>
        <w:tc>
          <w:tcPr>
            <w:shd w:fill="1c2749" w:val="clear"/>
          </w:tcPr>
          <w:p>
            <w:r>
              <w:rPr>
                <w:b/>
                <w:bCs/>
                <w:color w:val="FFFFFF"/>
                <w:sz w:val="20"/>
                <w:szCs w:val="20"/>
              </w:rPr>
              <w:t xml:space="preserve">Tingkat Kemandirian</w:t>
            </w:r>
          </w:p>
        </w:tc>
        <w:tc>
          <w:tcPr>
            <w:shd w:fill="1c2749" w:val="clear"/>
          </w:tcPr>
          <w:p>
            <w:r>
              <w:rPr>
                <w:b/>
                <w:bCs/>
                <w:color w:val="FFFFFF"/>
                <w:sz w:val="20"/>
                <w:szCs w:val="20"/>
              </w:rPr>
              <w:t xml:space="preserve">Capaian yang Diharapkan</w:t>
            </w:r>
          </w:p>
        </w:tc>
      </w:tr>
      <w:tr>
        <w:tc>
          <w:p>
            <w:r>
              <w:rPr>
                <w:sz w:val="19"/>
                <w:szCs w:val="19"/>
              </w:rPr>
              <w:t xml:space="preserve">Tahun I</w:t>
            </w:r>
          </w:p>
        </w:tc>
        <w:tc>
          <w:p>
            <w:r>
              <w:rPr>
                <w:sz w:val="19"/>
                <w:szCs w:val="19"/>
              </w:rPr>
              <w:t xml:space="preserve">Mengenali kerangka dasar National CLAS Standards dan mempraktikkan teknik teach-back di bawah observasi.</w:t>
            </w:r>
          </w:p>
        </w:tc>
        <w:tc>
          <w:p>
            <w:r>
              <w:rPr>
                <w:sz w:val="19"/>
                <w:szCs w:val="19"/>
              </w:rPr>
              <w:t xml:space="preserve">Setiap kasus dijalani bersama pembimbing secara langsung.</w:t>
            </w:r>
          </w:p>
        </w:tc>
        <w:tc>
          <w:p>
            <w:r>
              <w:rPr>
                <w:sz w:val="19"/>
                <w:szCs w:val="19"/>
              </w:rPr>
              <w:t xml:space="preserve">Mampu memverifikasi pemahaman pasien lintas hambatan bahasa dengan supervisi penuh.</w:t>
            </w:r>
          </w:p>
        </w:tc>
      </w:tr>
      <w:tr>
        <w:tc>
          <w:p>
            <w:r>
              <w:rPr>
                <w:sz w:val="19"/>
                <w:szCs w:val="19"/>
              </w:rPr>
              <w:t xml:space="preserve">Tahun II</w:t>
            </w:r>
          </w:p>
        </w:tc>
        <w:tc>
          <w:p>
            <w:r>
              <w:rPr>
                <w:sz w:val="19"/>
                <w:szCs w:val="19"/>
              </w:rPr>
              <w:t xml:space="preserve">Menerapkan negosiasi rekomendasi dengan kepercayaan tradisional/agama dengan bimbingan tidak langsung.</w:t>
            </w:r>
          </w:p>
        </w:tc>
        <w:tc>
          <w:p>
            <w:r>
              <w:rPr>
                <w:sz w:val="19"/>
                <w:szCs w:val="19"/>
              </w:rPr>
              <w:t xml:space="preserve">Mulai berjalan sendiri, tetap berkonsultasi saat menemui keraguan.</w:t>
            </w:r>
          </w:p>
        </w:tc>
        <w:tc>
          <w:p>
            <w:r>
              <w:rPr>
                <w:sz w:val="19"/>
                <w:szCs w:val="19"/>
              </w:rPr>
              <w:t xml:space="preserve">Mampu menyesuaikan rekomendasi gaya hidup dengan konteks budaya dan ekonomi pasien.</w:t>
            </w:r>
          </w:p>
        </w:tc>
      </w:tr>
      <w:tr>
        <w:tc>
          <w:p>
            <w:r>
              <w:rPr>
                <w:sz w:val="19"/>
                <w:szCs w:val="19"/>
              </w:rPr>
              <w:t xml:space="preserve">Tahun III</w:t>
            </w:r>
          </w:p>
        </w:tc>
        <w:tc>
          <w:p>
            <w:r>
              <w:rPr>
                <w:sz w:val="19"/>
                <w:szCs w:val="19"/>
              </w:rPr>
              <w:t xml:space="preserve">Mengintegrasikan kompetensi budaya pada kasus kompleks (multi-hambatan bahasa, ekonomi, kepercayaan).</w:t>
            </w:r>
          </w:p>
        </w:tc>
        <w:tc>
          <w:p>
            <w:r>
              <w:rPr>
                <w:sz w:val="19"/>
                <w:szCs w:val="19"/>
              </w:rPr>
              <w:t xml:space="preserve">Sebagian besar mandiri, dengan pemantauan berkala dari pembimbing.</w:t>
            </w:r>
          </w:p>
        </w:tc>
        <w:tc>
          <w:p>
            <w:r>
              <w:rPr>
                <w:sz w:val="19"/>
                <w:szCs w:val="19"/>
              </w:rPr>
              <w:t xml:space="preserve">Mampu membangun kepercayaan dan menegosiasikan rencana perawatan lintas perbedaan budaya signifikan.</w:t>
            </w:r>
          </w:p>
        </w:tc>
      </w:tr>
      <w:tr>
        <w:tc>
          <w:p>
            <w:r>
              <w:rPr>
                <w:sz w:val="19"/>
                <w:szCs w:val="19"/>
              </w:rPr>
              <w:t xml:space="preserve">Tahun IV</w:t>
            </w:r>
          </w:p>
        </w:tc>
        <w:tc>
          <w:p>
            <w:r>
              <w:rPr>
                <w:sz w:val="19"/>
                <w:szCs w:val="19"/>
              </w:rPr>
              <w:t xml:space="preserve">Membimbing peserta didik junior dalam kompetensi budaya; menjadi rujukan internal wahana.</w:t>
            </w:r>
          </w:p>
        </w:tc>
        <w:tc>
          <w:p>
            <w:r>
              <w:rPr>
                <w:sz w:val="19"/>
                <w:szCs w:val="19"/>
              </w:rPr>
              <w:t xml:space="preserve">Mandiri penuh dan mulai mengambil peran sebagai mentor junior.</w:t>
            </w:r>
          </w:p>
        </w:tc>
        <w:tc>
          <w:p>
            <w:r>
              <w:rPr>
                <w:sz w:val="19"/>
                <w:szCs w:val="19"/>
              </w:rPr>
              <w:t xml:space="preserve">Mampu mengaudit kepekaan budaya dalam konseling gaya hidup oleh peserta didik lain.</w:t>
            </w:r>
          </w:p>
        </w:tc>
      </w:tr>
    </w:tbl>
    <w:p>
      <w:pPr>
        <w:spacing w:after="200"/>
      </w:pPr>
    </w:p>
    <w:p>
      <w:pPr>
        <w:pStyle w:val="Heading1"/>
        <w:spacing w:after="120" w:before="200"/>
      </w:pPr>
      <w:r>
        <w:t xml:space="preserve">BAB IX — Evaluasi Diri dan Pertanyaan Reflektif</w:t>
      </w:r>
    </w:p>
    <w:p>
      <w:pPr>
        <w:spacing w:after="100"/>
      </w:pPr>
      <w:r>
        <w:rPr>
          <w:sz w:val="22"/>
          <w:szCs w:val="22"/>
        </w:rPr>
        <w:t xml:space="preserve">• Apakah saya menyadari kemungkinan bias implisit saya sendiri terhadap pasien dari latar belakang berbeda?</w:t>
      </w:r>
    </w:p>
    <w:p>
      <w:pPr>
        <w:spacing w:after="100"/>
      </w:pPr>
      <w:r>
        <w:rPr>
          <w:sz w:val="22"/>
          <w:szCs w:val="22"/>
        </w:rPr>
        <w:t xml:space="preserve">• Apakah saya secara aktif menanyakan hambatan budaya/ekonomi sebelum memberi rekomendasi gaya hidup?</w:t>
      </w:r>
    </w:p>
    <w:p>
      <w:pPr>
        <w:spacing w:after="100"/>
      </w:pPr>
      <w:r>
        <w:rPr>
          <w:sz w:val="22"/>
          <w:szCs w:val="22"/>
        </w:rPr>
        <w:t xml:space="preserve">• Apakah saya menggunakan teknik teach-back untuk memverifikasi pemahaman pasien?</w:t>
      </w:r>
    </w:p>
    <w:p>
      <w:pPr>
        <w:spacing w:after="100"/>
      </w:pPr>
      <w:r>
        <w:rPr>
          <w:sz w:val="22"/>
          <w:szCs w:val="22"/>
        </w:rPr>
        <w:t xml:space="preserve">• Apakah saya dapat menegosiasikan rekomendasi medis dengan kepercayaan tradisional/agama pasien?</w:t>
      </w:r>
    </w:p>
    <w:p>
      <w:pPr>
        <w:spacing w:after="100"/>
      </w:pPr>
      <w:r>
        <w:rPr>
          <w:sz w:val="22"/>
          <w:szCs w:val="22"/>
        </w:rPr>
        <w:t xml:space="preserve">• Apakah saya nyaman bertanya langsung tentang kebiasaan/kepercayaan pasien alih-alih berasumsi?</w:t>
      </w:r>
    </w:p>
    <w:p>
      <w:pPr>
        <w:pStyle w:val="Heading1"/>
        <w:spacing w:after="120" w:before="300"/>
      </w:pPr>
      <w:r>
        <w:t xml:space="preserve">BAB X — Penutup</w:t>
      </w:r>
    </w:p>
    <w:p>
      <w:pPr>
        <w:spacing w:after="140"/>
      </w:pPr>
      <w:r>
        <w:rPr>
          <w:sz w:val="22"/>
          <w:szCs w:val="22"/>
        </w:rPr>
        <w:t xml:space="preserve">Kompetensi budaya bukan topik tambahan di luar kedokteran gaya hidup (B17) — keduanya harus berjalan bersamaan, karena rekomendasi gaya hidup yang secara teknis benar namun tidak berkompetensi budaya cenderung berakhir sebagai instruksi yang tidak pernah dijalankan.</w:t>
      </w:r>
    </w:p>
    <w:p>
      <w:pPr>
        <w:spacing w:after="200"/>
      </w:pPr>
      <w:r>
        <w:rPr>
          <w:sz w:val="22"/>
          <w:szCs w:val="22"/>
        </w:rPr>
        <w:t xml:space="preserve">Buku ini disusun merujuk pada standar nasional (Tabel 10 Kepkonsil No. HK.01.02/KKI/1318/2026, komponen kompetensi ke-12) dan standar internasional dari HHS Office of Minority Health — Think Cultural Health / National CLAS Standards (https://thinkculturalhealth.hhs.gov/clas/standards).</w:t>
      </w:r>
    </w:p>
    <w:p>
      <w:pPr>
        <w:spacing w:after="100" w:before="100"/>
      </w:pPr>
      <w:r>
        <w:rPr>
          <w:b/>
          <w:bCs/>
          <w:color w:val="1c2749"/>
          <w:sz w:val="24"/>
          <w:szCs w:val="24"/>
        </w:rPr>
        <w:t xml:space="preserve">Glosarium</w:t>
      </w:r>
    </w:p>
    <w:p>
      <w:pPr>
        <w:spacing w:after="20"/>
      </w:pPr>
      <w:r>
        <w:rPr>
          <w:b/>
          <w:bCs/>
          <w:sz w:val="21"/>
          <w:szCs w:val="21"/>
        </w:rPr>
        <w:t xml:space="preserve">National CLAS Standards</w:t>
      </w:r>
    </w:p>
    <w:p>
      <w:pPr>
        <w:spacing w:after="100"/>
      </w:pPr>
      <w:r>
        <w:rPr>
          <w:color w:val="374151"/>
          <w:sz w:val="20"/>
          <w:szCs w:val="20"/>
        </w:rPr>
        <w:t xml:space="preserve">Kerangka 15 standar layanan yang responsif budaya dan bahasa dari HHS Office of Minority Health, terdiri atas 1 Prinsip Utama dan 3 tema.</w:t>
      </w:r>
    </w:p>
    <w:p>
      <w:pPr>
        <w:spacing w:after="20"/>
      </w:pPr>
      <w:r>
        <w:rPr>
          <w:b/>
          <w:bCs/>
          <w:sz w:val="21"/>
          <w:szCs w:val="21"/>
        </w:rPr>
        <w:t xml:space="preserve">Bias implisit</w:t>
      </w:r>
    </w:p>
    <w:p>
      <w:pPr>
        <w:spacing w:after="100"/>
      </w:pPr>
      <w:r>
        <w:rPr>
          <w:color w:val="374151"/>
          <w:sz w:val="20"/>
          <w:szCs w:val="20"/>
        </w:rPr>
        <w:t xml:space="preserve">Asumsi atau prasangka tidak sadar yang memengaruhi penilaian dan keputusan klinis terhadap pasien.</w:t>
      </w:r>
    </w:p>
    <w:p>
      <w:pPr>
        <w:spacing w:after="20"/>
      </w:pPr>
      <w:r>
        <w:rPr>
          <w:b/>
          <w:bCs/>
          <w:sz w:val="21"/>
          <w:szCs w:val="21"/>
        </w:rPr>
        <w:t xml:space="preserve">Teknik teach-back</w:t>
      </w:r>
    </w:p>
    <w:p>
      <w:pPr>
        <w:spacing w:after="100"/>
      </w:pPr>
      <w:r>
        <w:rPr>
          <w:color w:val="374151"/>
          <w:sz w:val="20"/>
          <w:szCs w:val="20"/>
        </w:rPr>
        <w:t xml:space="preserve">Metode verifikasi pemahaman dengan meminta pasien menjelaskan kembali instruksi dengan kata-kata sendiri.</w:t>
      </w:r>
    </w:p>
    <w:p>
      <w:pPr>
        <w:spacing w:after="100" w:before="100"/>
      </w:pPr>
      <w:r>
        <w:rPr>
          <w:b/>
          <w:bCs/>
          <w:color w:val="1c2749"/>
          <w:sz w:val="24"/>
          <w:szCs w:val="24"/>
        </w:rPr>
        <w:t xml:space="preserve">Daftar Pustaka</w:t>
      </w:r>
    </w:p>
    <w:p>
      <w:pPr>
        <w:spacing w:after="80"/>
      </w:pPr>
      <w:r>
        <w:rPr>
          <w:sz w:val="20"/>
          <w:szCs w:val="20"/>
        </w:rPr>
        <w:t xml:space="preserve">1. U.S. Department of Health and Human Services, Office of Minority Health. Think Cultural Health — National CLAS Standards. https://thinkculturalhealth.hhs.gov/clas/standards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2026-08-27T03:32:34.668Z</dcterms:created>
  <dcterms:modified xsi:type="dcterms:W3CDTF">2026-08-27T03:32:34.668Z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