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6B7280"/>
          <w:sz w:val="18"/>
          <w:szCs w:val="18"/>
        </w:rPr>
        <w:t xml:space="preserve">DOKUMEN B15 · PERPUSTAKAAN DIGITAL ABBA</w:t>
      </w:r>
    </w:p>
    <w:p>
      <w:pPr>
        <w:pStyle w:val="Title"/>
        <w:spacing w:after="120"/>
      </w:pPr>
      <w:r>
        <w:t xml:space="preserve">Pelayanan Transisional: Menjembatani Perpindahan Fase Perawatan</w:t>
      </w:r>
    </w:p>
    <w:p>
      <w:pPr>
        <w:spacing w:after="300"/>
      </w:pPr>
      <w:r>
        <w:rPr>
          <w:i/>
          <w:iCs/>
          <w:color w:val="5B6478"/>
          <w:sz w:val="20"/>
          <w:szCs w:val="20"/>
        </w:rPr>
        <w:t xml:space="preserve">Dr.dr. H. Budi Siswanto, Sp.OG, Subsp.Obginsos., SH., S.Kom. · 2026</w:t>
      </w:r>
    </w:p>
    <w:p>
      <w:pPr>
        <w:pStyle w:val="Heading1"/>
        <w:spacing w:after="120" w:before="300"/>
      </w:pPr>
      <w:r>
        <w:t xml:space="preserve">BAB I — Mengapa Transisi Perawatan Berisiko Tinggi</w:t>
      </w:r>
    </w:p>
    <w:p>
      <w:pPr>
        <w:pStyle w:val="Heading2"/>
        <w:spacing w:after="80" w:before="160"/>
      </w:pPr>
      <w:r>
        <w:t xml:space="preserve">Risiko Hilangnya Informasi dan Kontinuitas</w:t>
      </w:r>
    </w:p>
    <w:p>
      <w:pPr>
        <w:spacing w:after="120"/>
      </w:pPr>
      <w:r>
        <w:rPr>
          <w:i/>
          <w:iCs/>
          <w:sz w:val="22"/>
          <w:szCs w:val="22"/>
        </w:rPr>
        <w:t xml:space="preserve">Setiap perpindahan tanggung jawab perawatan membawa risiko hilangnya informasi klinis dan terputusnya kontinuitas pengobatan. Periode pasca-pulang rawat inap secara konsisten dilaporkan sebagai periode risiko tinggi terjadinya readmisi yang berpotensi dicegah.</w:t>
      </w:r>
    </w:p>
    <w:p>
      <w:pPr>
        <w:pStyle w:val="Heading2"/>
        <w:spacing w:after="80" w:before="160"/>
      </w:pPr>
      <w:r>
        <w:t xml:space="preserve">Peran Dokter Layanan Primer sebagai Penjaga Kesinambungan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Dokter layanan primer, sebagai penyedia continuity of care, memiliki posisi unik menjaga kesinambungan informasi lintas titik transisi — peran yang tidak dapat digantikan dokter spesialis rumah sakit yang bersifat episodik.</w:t>
      </w:r>
    </w:p>
    <w:p>
      <w:pPr>
        <w:pStyle w:val="Heading1"/>
        <w:spacing w:after="120" w:before="300"/>
      </w:pPr>
      <w:r>
        <w:t xml:space="preserve">BAB II — Kerangka Six Core Elements of Health Care Transition</w:t>
      </w:r>
    </w:p>
    <w:p>
      <w:pPr>
        <w:pStyle w:val="Heading2"/>
        <w:spacing w:after="80" w:before="160"/>
      </w:pPr>
      <w:r>
        <w:t xml:space="preserve">Enam Elemen Inti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Got Transition — didukung American Academy of Pediatrics, American Academy of Family Physicians, dan American College of Physicians — mengembangkan kerangka Six Core Elements: kebijakan transisi tertulis, pelacakan dan pemantauan progres, penilaian kesiapan transisi, perencanaan perawatan dewasa, transfer ke klinisi dewasa, dan konfirmasi penyelesaian transfer.</w:t>
      </w:r>
    </w:p>
    <w:p>
      <w:pPr>
        <w:pStyle w:val="Heading2"/>
        <w:spacing w:after="80" w:before="160"/>
      </w:pPr>
      <w:r>
        <w:t xml:space="preserve">Adaptasi untuk Konteks Layanan Primer Indonesia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Kerangka ini awalnya dirancang untuk transisi remaja ke layanan dewasa, namun prinsip strukturnya — kebijakan tertulis, pelacakan sistematis, dan konfirmasi transfer — dapat diadaptasi untuk jenis transisi perawatan lain di layanan primer Indonesia.</w:t>
      </w:r>
    </w:p>
    <w:p>
      <w:pPr>
        <w:pStyle w:val="Heading1"/>
        <w:spacing w:after="120" w:before="300"/>
      </w:pPr>
      <w:r>
        <w:t xml:space="preserve">BAB III — Transisi Remaja dengan Kondisi Kronis ke Layanan Dewasa</w:t>
      </w:r>
    </w:p>
    <w:p>
      <w:pPr>
        <w:pStyle w:val="Heading2"/>
        <w:spacing w:after="80" w:before="160"/>
      </w:pPr>
      <w:r>
        <w:t xml:space="preserve">Kapan Memulai Penilaian Kesiapan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Penilaian kesiapan transisi idealnya dimulai sejak usia 14-16 tahun — bukan mendadak saat pasien dewasa — memberi waktu remaja dan keluarga mempersiapkan kemandirian mengelola kondisi kesehatannya.</w:t>
      </w:r>
    </w:p>
    <w:p>
      <w:pPr>
        <w:pStyle w:val="Heading2"/>
        <w:spacing w:after="80" w:before="160"/>
      </w:pPr>
      <w:r>
        <w:t xml:space="preserve">Kondisi yang Relevan di Indonesia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Relevan khususnya bagi remaja dengan diabetes tipe 1, penyakit jantung bawaan, atau disabilitas intelektual/perkembangan yang sebelumnya dikelola layanan pediatrik dan perlu beralih ke layanan primer dewasa secara terencana.</w:t>
      </w:r>
    </w:p>
    <w:p>
      <w:pPr>
        <w:pStyle w:val="Heading1"/>
        <w:spacing w:after="120" w:before="300"/>
      </w:pPr>
      <w:r>
        <w:t xml:space="preserve">BAB IV — Transisi Rumah Sakit ke Rumah: Rekonsiliasi Obat</w:t>
      </w:r>
    </w:p>
    <w:p>
      <w:pPr>
        <w:pStyle w:val="Heading2"/>
        <w:spacing w:after="80" w:before="160"/>
      </w:pPr>
      <w:r>
        <w:t xml:space="preserve">Rekonsiliasi Obat sebagai Langkah Kritis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Elemen kunci transisi aman meliputi rekonsiliasi obat — memastikan daftar obat pasca-pulang akurat, tanpa duplikasi atau interaksi dengan obat rutin sebelumnya — sebagai langkah pertama yang paling sering diabaikan.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Kesalahan rekonsiliasi obat merupakan salah satu penyebab tersering readmisi yang berpotensi dicegah, terutama pada pasien lansia dengan polifarmasi.</w:t>
      </w:r>
    </w:p>
    <w:p>
      <w:pPr>
        <w:pStyle w:val="Heading1"/>
        <w:spacing w:after="120" w:before="300"/>
      </w:pPr>
      <w:r>
        <w:t xml:space="preserve">BAB V — Komunikasi Ringkasan Pulang dan Tindak Lanjut</w:t>
      </w:r>
    </w:p>
    <w:p>
      <w:pPr>
        <w:pStyle w:val="Heading2"/>
        <w:spacing w:after="80" w:before="160"/>
      </w:pPr>
      <w:r>
        <w:t xml:space="preserve">Memastikan Ringkasan Pulang Diterima dan Dipahami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Pasien perlu memahami tanda bahaya yang memerlukan kontak segera dan memiliki jadwal tindak lanjut yang jelas. Ringkasan pulang harus benar-benar diterima dan dibaca dokter layanan primer, bukan sekadar diarsipkan.</w:t>
      </w:r>
    </w:p>
    <w:p>
      <w:pPr>
        <w:pStyle w:val="Heading2"/>
        <w:spacing w:after="80" w:before="160"/>
      </w:pPr>
      <w:r>
        <w:t xml:space="preserve">Kontak Proaktif Pasca-Pulang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Dokter layanan primer idealnya melakukan kontak proaktif dalam 48-72 jam pasca-pulang untuk pasien berisiko tinggi (lansia, polifarmasi, diagnosis kompleks), bukan menunggu pasien datang bila terjadi masalah.</w:t>
      </w:r>
    </w:p>
    <w:p>
      <w:pPr>
        <w:pStyle w:val="Heading1"/>
        <w:spacing w:after="120" w:before="300"/>
      </w:pPr>
      <w:r>
        <w:t xml:space="preserve">BAB VI — Transisi Menuju Perawatan Paliatif</w:t>
      </w:r>
    </w:p>
    <w:p>
      <w:pPr>
        <w:pStyle w:val="Heading2"/>
        <w:spacing w:after="80" w:before="160"/>
      </w:pPr>
      <w:r>
        <w:t xml:space="preserve">Kesulitan Emosional Transisi Tujuan Perawatan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Transisi dari perawatan kuratif aktif ke perawatan paliatif merupakan salah satu transisi tersulit secara emosional bagi pasien, keluarga, dan tenaga kesehatan.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Detail tata laksana paliatif dibahas lebih mendalam pada B19; buku ini menekankan aspek transisi (perpindahan tujuan dan tanggung jawab perawatan), bukan tata laksana klinis paliatif itu sendiri.</w:t>
      </w:r>
    </w:p>
    <w:p>
      <w:pPr>
        <w:pStyle w:val="Heading1"/>
        <w:spacing w:after="120" w:before="300"/>
      </w:pPr>
      <w:r>
        <w:t xml:space="preserve">BAB VII — Membangun Sistem Transisi di Fasilitas Layanan Primer</w:t>
      </w:r>
    </w:p>
    <w:p>
      <w:pPr>
        <w:pStyle w:val="Heading2"/>
        <w:spacing w:after="80" w:before="160"/>
      </w:pPr>
      <w:r>
        <w:t xml:space="preserve">Transisi sebagai Kompetensi Sistem, Bukan Individual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Transisi yang aman tidak boleh bergantung pada inisiatif individual dokter, melainkan perlu didukung sistem: daftar periksa transisi standar, alur komunikasi terstruktur dengan rumah sakit rujukan, dan mekanisme pelacakan pasien pasca-pulang.</w:t>
      </w:r>
    </w:p>
    <w:p>
      <w:pPr>
        <w:pStyle w:val="Heading1"/>
        <w:spacing w:after="120" w:before="300"/>
      </w:pPr>
      <w:r>
        <w:t xml:space="preserve">BAB VIII — Penjenjangan Capaian Pembelajaran Tahun I–IV</w:t>
      </w:r>
    </w:p>
    <w:p>
      <w:pPr>
        <w:spacing w:after="140"/>
      </w:pPr>
      <w:r>
        <w:rPr>
          <w:sz w:val="22"/>
          <w:szCs w:val="22"/>
        </w:rPr>
        <w:t xml:space="preserve">Penjenjangan berikut merupakan usulan kerangka penahapan berbasis pola umum pendidikan spesialis empat tahun, disesuaikan dengan komponen kompetensi ke-9 pada Tabel 10 Kepkonsil No. HK.01.02/KKI/1318/2026.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Tahun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Fokus Belajar Utama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Tingkat Kemandirian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Capaian yang Diharapkan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</w:t>
            </w:r>
          </w:p>
        </w:tc>
        <w:tc>
          <w:p>
            <w:r>
              <w:rPr>
                <w:sz w:val="19"/>
                <w:szCs w:val="19"/>
              </w:rPr>
              <w:t xml:space="preserve">Mengenali elemen dasar Six Core Elements dan mempraktikkan rekonsiliasi obat di bawah observasi.</w:t>
            </w:r>
          </w:p>
        </w:tc>
        <w:tc>
          <w:p>
            <w:r>
              <w:rPr>
                <w:sz w:val="19"/>
                <w:szCs w:val="19"/>
              </w:rPr>
              <w:t xml:space="preserve">Praktik selalu di bawah pengawasan langsung pembimbing klinis.</w:t>
            </w:r>
          </w:p>
        </w:tc>
        <w:tc>
          <w:p>
            <w:r>
              <w:rPr>
                <w:sz w:val="19"/>
                <w:szCs w:val="19"/>
              </w:rPr>
              <w:t xml:space="preserve">Mampu melakukan rekonsiliasi obat dasar pasca-pulang dengan supervisi penuh.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II</w:t>
            </w:r>
          </w:p>
        </w:tc>
        <w:tc>
          <w:p>
            <w:r>
              <w:rPr>
                <w:sz w:val="19"/>
                <w:szCs w:val="19"/>
              </w:rPr>
              <w:t xml:space="preserve">Menerapkan penilaian kesiapan transisi remaja dan kontak proaktif pasca-pulang dengan bimbingan tidak langsung.</w:t>
            </w:r>
          </w:p>
        </w:tc>
        <w:tc>
          <w:p>
            <w:r>
              <w:rPr>
                <w:sz w:val="19"/>
                <w:szCs w:val="19"/>
              </w:rPr>
              <w:t xml:space="preserve">Supervisi tidak langsung; pembimbing dapat dihubungi sewaktu-waktu.</w:t>
            </w:r>
          </w:p>
        </w:tc>
        <w:tc>
          <w:p>
            <w:r>
              <w:rPr>
                <w:sz w:val="19"/>
                <w:szCs w:val="19"/>
              </w:rPr>
              <w:t xml:space="preserve">Mampu menyusun rencana transisi remaja dasar dan melakukan kontak tindak lanjut terstruktur.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III</w:t>
            </w:r>
          </w:p>
        </w:tc>
        <w:tc>
          <w:p>
            <w:r>
              <w:rPr>
                <w:sz w:val="19"/>
                <w:szCs w:val="19"/>
              </w:rPr>
              <w:t xml:space="preserve">Mengintegrasikan pengelolaan transisi kompleks (multi-morbiditas, transisi paliatif) secara mandiri.</w:t>
            </w:r>
          </w:p>
        </w:tc>
        <w:tc>
          <w:p>
            <w:r>
              <w:rPr>
                <w:sz w:val="19"/>
                <w:szCs w:val="19"/>
              </w:rPr>
              <w:t xml:space="preserve">Mandiri untuk kasus rutin; supervisi insidental untuk kasus kompleks.</w:t>
            </w:r>
          </w:p>
        </w:tc>
        <w:tc>
          <w:p>
            <w:r>
              <w:rPr>
                <w:sz w:val="19"/>
                <w:szCs w:val="19"/>
              </w:rPr>
              <w:t xml:space="preserve">Mampu memimpin proses transisi pasien kompleks lintas fasilitas dan tujuan perawatan.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IV</w:t>
            </w:r>
          </w:p>
        </w:tc>
        <w:tc>
          <w:p>
            <w:r>
              <w:rPr>
                <w:sz w:val="19"/>
                <w:szCs w:val="19"/>
              </w:rPr>
              <w:t xml:space="preserve">Membangun sistem transisi di fasilitas layanan primer dan membimbing peserta didik junior.</w:t>
            </w:r>
          </w:p>
        </w:tc>
        <w:tc>
          <w:p>
            <w:r>
              <w:rPr>
                <w:sz w:val="19"/>
                <w:szCs w:val="19"/>
              </w:rPr>
              <w:t xml:space="preserve">Otonomi penuh, termasuk tanggung jawab mengarahkan peserta didik baru.</w:t>
            </w:r>
          </w:p>
        </w:tc>
        <w:tc>
          <w:p>
            <w:r>
              <w:rPr>
                <w:sz w:val="19"/>
                <w:szCs w:val="19"/>
              </w:rPr>
              <w:t xml:space="preserve">Mampu merancang daftar periksa transisi standar untuk wahana pendidikan.</w:t>
            </w:r>
          </w:p>
        </w:tc>
      </w:tr>
    </w:tbl>
    <w:p>
      <w:pPr>
        <w:spacing w:after="200"/>
      </w:pPr>
    </w:p>
    <w:p>
      <w:pPr>
        <w:pStyle w:val="Heading1"/>
        <w:spacing w:after="120" w:before="200"/>
      </w:pPr>
      <w:r>
        <w:t xml:space="preserve">BAB IX — Evaluasi Diri dan Pertanyaan Reflektif</w:t>
      </w:r>
    </w:p>
    <w:p>
      <w:pPr>
        <w:spacing w:after="100"/>
      </w:pPr>
      <w:r>
        <w:rPr>
          <w:sz w:val="22"/>
          <w:szCs w:val="22"/>
        </w:rPr>
        <w:t xml:space="preserve">• Apakah saya memahami kerangka Six Core Elements of Health Care Transition dan dapat mengadaptasinya?</w:t>
      </w:r>
    </w:p>
    <w:p>
      <w:pPr>
        <w:spacing w:after="100"/>
      </w:pPr>
      <w:r>
        <w:rPr>
          <w:sz w:val="22"/>
          <w:szCs w:val="22"/>
        </w:rPr>
        <w:t xml:space="preserve">• Apakah saya dapat menyusun rencana transisi remaja dengan penyakit kronis dari layanan anak ke dewasa?</w:t>
      </w:r>
    </w:p>
    <w:p>
      <w:pPr>
        <w:spacing w:after="100"/>
      </w:pPr>
      <w:r>
        <w:rPr>
          <w:sz w:val="22"/>
          <w:szCs w:val="22"/>
        </w:rPr>
        <w:t xml:space="preserve">• Apakah saya melakukan rekonsiliasi obat sistematis pada pasien pasca-pulang rawat inap?</w:t>
      </w:r>
    </w:p>
    <w:p>
      <w:pPr>
        <w:spacing w:after="100"/>
      </w:pPr>
      <w:r>
        <w:rPr>
          <w:sz w:val="22"/>
          <w:szCs w:val="22"/>
        </w:rPr>
        <w:t xml:space="preserve">• Apakah saya memiliki mekanisme kontak proaktif pasca-pulang untuk pasien berisiko tinggi?</w:t>
      </w:r>
    </w:p>
    <w:p>
      <w:pPr>
        <w:spacing w:after="100"/>
      </w:pPr>
      <w:r>
        <w:rPr>
          <w:sz w:val="22"/>
          <w:szCs w:val="22"/>
        </w:rPr>
        <w:t xml:space="preserve">• Apakah saya dapat mengidentifikasi titik-titik transisi berisiko tinggi pada pasien saya?</w:t>
      </w:r>
    </w:p>
    <w:p>
      <w:pPr>
        <w:pStyle w:val="Heading1"/>
        <w:spacing w:after="120" w:before="300"/>
      </w:pPr>
      <w:r>
        <w:t xml:space="preserve">BAB X — Penutup</w:t>
      </w:r>
    </w:p>
    <w:p>
      <w:pPr>
        <w:spacing w:after="140"/>
      </w:pPr>
      <w:r>
        <w:rPr>
          <w:sz w:val="22"/>
          <w:szCs w:val="22"/>
        </w:rPr>
        <w:t xml:space="preserve">Transisi perawatan yang aman adalah kompetensi sistem, bukan hanya kompetensi individual. Buku ini melengkapi B7 dengan fokus pada momen-momen perpindahan yang lebih luas dari sekadar rujukan darurat.</w:t>
      </w:r>
    </w:p>
    <w:p>
      <w:pPr>
        <w:spacing w:after="200"/>
      </w:pPr>
      <w:r>
        <w:rPr>
          <w:sz w:val="22"/>
          <w:szCs w:val="22"/>
        </w:rPr>
        <w:t xml:space="preserve">Buku ini disusun merujuk pada standar nasional (Tabel 10 Kepkonsil No. HK.01.02/KKI/1318/2026, komponen kompetensi ke-9) dan standar internasional dari Got Transition® — National Resource Center on Health Care Transition (https://www.gottransition.org/).</w:t>
      </w:r>
    </w:p>
    <w:p>
      <w:pPr>
        <w:spacing w:after="100" w:before="100"/>
      </w:pPr>
      <w:r>
        <w:rPr>
          <w:b/>
          <w:bCs/>
          <w:color w:val="1c2749"/>
          <w:sz w:val="24"/>
          <w:szCs w:val="24"/>
        </w:rPr>
        <w:t xml:space="preserve">Glosarium</w:t>
      </w:r>
    </w:p>
    <w:p>
      <w:pPr>
        <w:spacing w:after="20"/>
      </w:pPr>
      <w:r>
        <w:rPr>
          <w:b/>
          <w:bCs/>
          <w:sz w:val="21"/>
          <w:szCs w:val="21"/>
        </w:rPr>
        <w:t xml:space="preserve">Transisi perawatan</w:t>
      </w:r>
    </w:p>
    <w:p>
      <w:pPr>
        <w:spacing w:after="100"/>
      </w:pPr>
      <w:r>
        <w:rPr>
          <w:color w:val="374151"/>
          <w:sz w:val="20"/>
          <w:szCs w:val="20"/>
        </w:rPr>
        <w:t xml:space="preserve">Perpindahan tanggung jawab perawatan pasien antar tingkat, jenis, atau lokasi layanan kesehatan.</w:t>
      </w:r>
    </w:p>
    <w:p>
      <w:pPr>
        <w:spacing w:after="20"/>
      </w:pPr>
      <w:r>
        <w:rPr>
          <w:b/>
          <w:bCs/>
          <w:sz w:val="21"/>
          <w:szCs w:val="21"/>
        </w:rPr>
        <w:t xml:space="preserve">Rekonsiliasi obat</w:t>
      </w:r>
    </w:p>
    <w:p>
      <w:pPr>
        <w:spacing w:after="100"/>
      </w:pPr>
      <w:r>
        <w:rPr>
          <w:color w:val="374151"/>
          <w:sz w:val="20"/>
          <w:szCs w:val="20"/>
        </w:rPr>
        <w:t xml:space="preserve">Proses memastikan daftar obat pasien akurat dan konsisten pada setiap titik transisi perawatan.</w:t>
      </w:r>
    </w:p>
    <w:p>
      <w:pPr>
        <w:spacing w:after="100" w:before="100"/>
      </w:pPr>
      <w:r>
        <w:rPr>
          <w:b/>
          <w:bCs/>
          <w:color w:val="1c2749"/>
          <w:sz w:val="24"/>
          <w:szCs w:val="24"/>
        </w:rPr>
        <w:t xml:space="preserve">Daftar Pustaka</w:t>
      </w:r>
    </w:p>
    <w:p>
      <w:pPr>
        <w:spacing w:after="80"/>
      </w:pPr>
      <w:r>
        <w:rPr>
          <w:sz w:val="20"/>
          <w:szCs w:val="20"/>
        </w:rPr>
        <w:t xml:space="preserve">1. Got Transition®. Six Core Elements of Health Care Transition. https://www.gottransition.org/six-core-elements/</w:t>
      </w:r>
    </w:p>
    <w:p>
      <w:pPr>
        <w:spacing w:after="80"/>
      </w:pPr>
      <w:r>
        <w:rPr>
          <w:sz w:val="20"/>
          <w:szCs w:val="20"/>
        </w:rPr>
        <w:t xml:space="preserve">2. Got Transition®. https://www.gottransition.org/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2026-08-27T03:32:34.615Z</dcterms:created>
  <dcterms:modified xsi:type="dcterms:W3CDTF">2026-08-27T03:32:34.615Z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