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6B7280"/>
          <w:sz w:val="18"/>
          <w:szCs w:val="18"/>
        </w:rPr>
        <w:t xml:space="preserve">DOKUMEN B14 · PERPUSTAKAAN DIGITAL ABBA</w:t>
      </w:r>
    </w:p>
    <w:p>
      <w:pPr>
        <w:pStyle w:val="Title"/>
        <w:spacing w:after="120"/>
      </w:pPr>
      <w:r>
        <w:t xml:space="preserve">Kesehatan Dewasa dan Kesehatan Kerja di Layanan Primer</w:t>
      </w:r>
    </w:p>
    <w:p>
      <w:pPr>
        <w:spacing w:after="300"/>
      </w:pPr>
      <w:r>
        <w:rPr>
          <w:i/>
          <w:iCs/>
          <w:color w:val="5B6478"/>
          <w:sz w:val="20"/>
          <w:szCs w:val="20"/>
        </w:rPr>
        <w:t xml:space="preserve">Dr.dr. H. Budi Siswanto, Sp.OG, Subsp.Obginsos., SH., S.Kom. · 2026</w:t>
      </w:r>
    </w:p>
    <w:p>
      <w:pPr>
        <w:pStyle w:val="Heading1"/>
        <w:spacing w:after="120" w:before="300"/>
      </w:pPr>
      <w:r>
        <w:t xml:space="preserve">BAB I — Layanan Primer sebagai Tulang Punggung Kesehatan Kerja</w:t>
      </w:r>
    </w:p>
    <w:p>
      <w:pPr>
        <w:pStyle w:val="Heading2"/>
        <w:spacing w:after="80" w:before="160"/>
      </w:pPr>
      <w:r>
        <w:t xml:space="preserve">Kesenjangan Akses Layanan Kesehatan Kerja Global</w:t>
      </w:r>
    </w:p>
    <w:p>
      <w:pPr>
        <w:spacing w:after="120"/>
      </w:pPr>
      <w:r>
        <w:rPr>
          <w:i/>
          <w:iCs/>
          <w:sz w:val="22"/>
          <w:szCs w:val="22"/>
        </w:rPr>
        <w:t xml:space="preserve">WHO, dalam panduan Occupational Health: A Manual for Primary Health Care Workers, menegaskan integrasi layanan kesehatan kerja dasar ke layanan primer sebagai strategi paling realistis menjangkau mayoritas pekerja dunia yang tidak memiliki akses ke layanan kesehatan kerja khusus perusahaan, terutama pekerja sektor informal.</w:t>
      </w:r>
    </w:p>
    <w:p>
      <w:pPr>
        <w:spacing w:after="120"/>
      </w:pPr>
      <w:r>
        <w:rPr>
          <w:i w:val="false"/>
          <w:iCs w:val="false"/>
          <w:sz w:val="22"/>
          <w:szCs w:val="22"/>
        </w:rPr>
        <w:t xml:space="preserve">Di Indonesia, proporsi pekerja sektor informal yang besar menjadikan peran ini sangat relevan bagi dokter layanan primer, yang seringkali menjadi satu-satunya titik kontak kesehatan kerja bagi kelompok pekerja tersebut.</w:t>
      </w:r>
    </w:p>
    <w:p>
      <w:pPr>
        <w:pStyle w:val="Heading2"/>
        <w:spacing w:after="80" w:before="160"/>
      </w:pPr>
      <w:r>
        <w:t xml:space="preserve">Kompetensi Inti Kesehatan Kerja Dasar</w:t>
      </w:r>
    </w:p>
    <w:p>
      <w:pPr>
        <w:spacing w:after="120"/>
      </w:pPr>
      <w:r>
        <w:rPr>
          <w:i w:val="false"/>
          <w:iCs w:val="false"/>
          <w:sz w:val="22"/>
          <w:szCs w:val="22"/>
        </w:rPr>
        <w:t xml:space="preserve">Kompetensi inti yang diperlukan meliputi pengenalan dini penyakit akibat kerja, penilaian sederhana risiko lingkungan kerja, konseling perbaikan kondisi kerja dasar, dan rujukan ke layanan kesehatan kerja spesialistik bila tersedia.</w:t>
      </w:r>
    </w:p>
    <w:p>
      <w:pPr>
        <w:pStyle w:val="Heading1"/>
        <w:spacing w:after="120" w:before="300"/>
      </w:pPr>
      <w:r>
        <w:t xml:space="preserve">BAB II — Anamnesis Pekerjaan sebagai Rutinitas Klinis</w:t>
      </w:r>
    </w:p>
    <w:p>
      <w:pPr>
        <w:pStyle w:val="Heading2"/>
        <w:spacing w:after="80" w:before="160"/>
      </w:pPr>
      <w:r>
        <w:t xml:space="preserve">Membiasakan Riwayat Pekerjaan dalam Anamnesis</w:t>
      </w:r>
    </w:p>
    <w:p>
      <w:pPr>
        <w:spacing w:after="120"/>
      </w:pPr>
      <w:r>
        <w:rPr>
          <w:i w:val="false"/>
          <w:iCs w:val="false"/>
          <w:sz w:val="22"/>
          <w:szCs w:val="22"/>
        </w:rPr>
        <w:t xml:space="preserve">Dokter layanan primer perlu membiasakan menanyakan riwayat pekerjaan sebagai bagian rutin anamnesis dewasa — bukan hanya saat kecurigaan tinggi — karena banyak penyakit akibat kerja berkembang perlahan dan pasien tidak mengaitkannya dengan pekerjaan.</w:t>
      </w:r>
    </w:p>
    <w:p>
      <w:pPr>
        <w:pStyle w:val="Heading2"/>
        <w:spacing w:after="80" w:before="160"/>
      </w:pPr>
      <w:r>
        <w:t xml:space="preserve">Pertanyaan Skrining Praktis</w:t>
      </w:r>
    </w:p>
    <w:p>
      <w:pPr>
        <w:spacing w:after="120"/>
      </w:pPr>
      <w:r>
        <w:rPr>
          <w:i w:val="false"/>
          <w:iCs w:val="false"/>
          <w:sz w:val="22"/>
          <w:szCs w:val="22"/>
        </w:rPr>
        <w:t xml:space="preserve">Pertanyaan skrining sederhana yang dapat diintegrasikan: 'Apakah pekerjaan Anda memengaruhi keluhan ini?' dan 'Apakah ada rekan kerja dengan keluhan serupa?' — pertanyaan kedua membantu mengidentifikasi paparan bersama yang memerlukan intervensi kolektif.</w:t>
      </w:r>
    </w:p>
    <w:p>
      <w:pPr>
        <w:pStyle w:val="Heading1"/>
        <w:spacing w:after="120" w:before="300"/>
      </w:pPr>
      <w:r>
        <w:t xml:space="preserve">BAB III — Penyakit Muskuloskeletal dan Sensorik Akibat Kerja</w:t>
      </w:r>
    </w:p>
    <w:p>
      <w:pPr>
        <w:pStyle w:val="Heading2"/>
        <w:spacing w:after="80" w:before="160"/>
      </w:pPr>
      <w:r>
        <w:t xml:space="preserve">Gangguan Muskuloskeletal Repetitif</w:t>
      </w:r>
    </w:p>
    <w:p>
      <w:pPr>
        <w:spacing w:after="120"/>
      </w:pPr>
      <w:r>
        <w:rPr>
          <w:i w:val="false"/>
          <w:iCs w:val="false"/>
          <w:sz w:val="22"/>
          <w:szCs w:val="22"/>
        </w:rPr>
        <w:t xml:space="preserve">Gangguan muskuloskeletal terkait posisi kerja repetitif merupakan salah satu kategori penyakit akibat kerja tersering namun sering tidak dikenali sebagai entitas okupasional oleh pasien maupun tenaga kesehatan.</w:t>
      </w:r>
    </w:p>
    <w:p>
      <w:pPr>
        <w:pStyle w:val="Heading2"/>
        <w:spacing w:after="80" w:before="160"/>
      </w:pPr>
      <w:r>
        <w:t xml:space="preserve">Gangguan Pendengaran Akibat Bising</w:t>
      </w:r>
    </w:p>
    <w:p>
      <w:pPr>
        <w:spacing w:after="120"/>
      </w:pPr>
      <w:r>
        <w:rPr>
          <w:i w:val="false"/>
          <w:iCs w:val="false"/>
          <w:sz w:val="22"/>
          <w:szCs w:val="22"/>
        </w:rPr>
        <w:t xml:space="preserve">Gangguan pendengaran akibat paparan bising kerja bersifat progresif dan sering tidak disadari pasien hingga tahap lanjut; evaluasi ergonomis sederhana di tempat kerja dapat mengarahkan rekomendasi mitigasi awal.</w:t>
      </w:r>
    </w:p>
    <w:p>
      <w:pPr>
        <w:pStyle w:val="Heading1"/>
        <w:spacing w:after="120" w:before="300"/>
      </w:pPr>
      <w:r>
        <w:t xml:space="preserve">BAB IV — Dermatitis Okupasional dan Paparan Bahan Kimia/Debu</w:t>
      </w:r>
    </w:p>
    <w:p>
      <w:pPr>
        <w:pStyle w:val="Heading2"/>
        <w:spacing w:after="80" w:before="160"/>
      </w:pPr>
      <w:r>
        <w:t xml:space="preserve">Pola Temporal Gejala terhadap Jadwal Kerja</w:t>
      </w:r>
    </w:p>
    <w:p>
      <w:pPr>
        <w:spacing w:after="120"/>
      </w:pPr>
      <w:r>
        <w:rPr>
          <w:i w:val="false"/>
          <w:iCs w:val="false"/>
          <w:sz w:val="22"/>
          <w:szCs w:val="22"/>
        </w:rPr>
        <w:t xml:space="preserve">Dermatitis kontak akibat bahan kimia dan gangguan pernapasan akibat paparan debu/uap memerlukan kecurigaan klinis tinggi bila pola gejala berkorelasi dengan hari kerja — membaik saat libur, memburuk saat bekerja.</w:t>
      </w:r>
    </w:p>
    <w:p>
      <w:pPr>
        <w:spacing w:after="120"/>
      </w:pPr>
      <w:r>
        <w:rPr>
          <w:i w:val="false"/>
          <w:iCs w:val="false"/>
          <w:sz w:val="22"/>
          <w:szCs w:val="22"/>
        </w:rPr>
        <w:t xml:space="preserve">Dokumentasi pola temporal gejala terhadap jadwal kerja merupakan alat diagnostik sederhana namun sering terlewat dalam anamnesis rutin.</w:t>
      </w:r>
    </w:p>
    <w:p>
      <w:pPr>
        <w:pStyle w:val="Heading1"/>
        <w:spacing w:after="120" w:before="300"/>
      </w:pPr>
      <w:r>
        <w:t xml:space="preserve">BAB V — Penyakit Terkait Kerja: Interaksi Multifaktorial</w:t>
      </w:r>
    </w:p>
    <w:p>
      <w:pPr>
        <w:pStyle w:val="Heading2"/>
        <w:spacing w:after="80" w:before="160"/>
      </w:pPr>
      <w:r>
        <w:t xml:space="preserve">Konsep Penyakit Terkait Kerja</w:t>
      </w:r>
    </w:p>
    <w:p>
      <w:pPr>
        <w:spacing w:after="120"/>
      </w:pPr>
      <w:r>
        <w:rPr>
          <w:i w:val="false"/>
          <w:iCs w:val="false"/>
          <w:sz w:val="22"/>
          <w:szCs w:val="22"/>
        </w:rPr>
        <w:t xml:space="preserve">Penyakit terkait kerja — seperti hipertensi yang diperberat stres kerja shift, atau nyeri punggung bawah yang diperberat postur kerja buruk — memiliki penyebab multifaktorial namun tetap memerlukan intervensi yang mempertimbangkan faktor pekerjaan, tidak semata farmakologis.</w:t>
      </w:r>
    </w:p>
    <w:p>
      <w:pPr>
        <w:pStyle w:val="Heading2"/>
        <w:spacing w:after="80" w:before="160"/>
      </w:pPr>
      <w:r>
        <w:t xml:space="preserve">Pendekatan Terintegrasi Lintas-Buku</w:t>
      </w:r>
    </w:p>
    <w:p>
      <w:pPr>
        <w:spacing w:after="120"/>
      </w:pPr>
      <w:r>
        <w:rPr>
          <w:i w:val="false"/>
          <w:iCs w:val="false"/>
          <w:sz w:val="22"/>
          <w:szCs w:val="22"/>
        </w:rPr>
        <w:t xml:space="preserve">Pendekatan holistik menggabungkan tata laksana medis standar (sesuai kerangka B2 untuk hipertensi) dengan konseling modifikasi faktor kerja secara bersamaan.</w:t>
      </w:r>
    </w:p>
    <w:p>
      <w:pPr>
        <w:pStyle w:val="Heading1"/>
        <w:spacing w:after="120" w:before="300"/>
      </w:pPr>
      <w:r>
        <w:t xml:space="preserve">BAB VI — Penilaian Kelaikan Kerja (Fitness-to-Work)</w:t>
      </w:r>
    </w:p>
    <w:p>
      <w:pPr>
        <w:pStyle w:val="Heading2"/>
        <w:spacing w:after="80" w:before="160"/>
      </w:pPr>
      <w:r>
        <w:t xml:space="preserve">Prinsip Dasar Penilaian Kapasitas Fungsional</w:t>
      </w:r>
    </w:p>
    <w:p>
      <w:pPr>
        <w:spacing w:after="120"/>
      </w:pPr>
      <w:r>
        <w:rPr>
          <w:i w:val="false"/>
          <w:iCs w:val="false"/>
          <w:sz w:val="22"/>
          <w:szCs w:val="22"/>
        </w:rPr>
        <w:t xml:space="preserve">Penilaian kelaikan kerja sering diminta namun jarang diajarkan sistematis. Prinsip dasarnya: menilai kapasitas fungsional pasien relatif terhadap tuntutan spesifik pekerjaannya — bukan penilaian generik 'sehat/tidak sehat'.</w:t>
      </w:r>
    </w:p>
    <w:p>
      <w:pPr>
        <w:pStyle w:val="Heading2"/>
        <w:spacing w:after="80" w:before="160"/>
      </w:pPr>
      <w:r>
        <w:t xml:space="preserve">Akomodasi Kerja sebagai Alternatif Cuti Total</w:t>
      </w:r>
    </w:p>
    <w:p>
      <w:pPr>
        <w:spacing w:after="120"/>
      </w:pPr>
      <w:r>
        <w:rPr>
          <w:i w:val="false"/>
          <w:iCs w:val="false"/>
          <w:sz w:val="22"/>
          <w:szCs w:val="22"/>
        </w:rPr>
        <w:t xml:space="preserve">Potensi akomodasi kerja (modifikasi tugas sementara) perlu dipertimbangkan sebagai alternatif dari cuti sakit total, terutama pada pemulihan penyakit kronis atau pasca-cedera ringan.</w:t>
      </w:r>
    </w:p>
    <w:p>
      <w:pPr>
        <w:pStyle w:val="Heading1"/>
        <w:spacing w:after="120" w:before="300"/>
      </w:pPr>
      <w:r>
        <w:t xml:space="preserve">BAB VII — Dukungan Return-to-Work</w:t>
      </w:r>
    </w:p>
    <w:p>
      <w:pPr>
        <w:pStyle w:val="Heading2"/>
        <w:spacing w:after="80" w:before="160"/>
      </w:pPr>
      <w:r>
        <w:t xml:space="preserve">Pemulangan Kerja Bertahap</w:t>
      </w:r>
    </w:p>
    <w:p>
      <w:pPr>
        <w:spacing w:after="120"/>
      </w:pPr>
      <w:r>
        <w:rPr>
          <w:i w:val="false"/>
          <w:iCs w:val="false"/>
          <w:sz w:val="22"/>
          <w:szCs w:val="22"/>
        </w:rPr>
        <w:t xml:space="preserve">Pemulangan bertahap dengan modifikasi tugas sementara umumnya menghasilkan luaran lebih baik dibanding menunggu pemulihan penuh, sekaligus mengurangi risiko kehilangan pekerjaan jangka panjang — prinsip yang dianut luas dalam praktik kedokteran okupasi internasional.</w:t>
      </w:r>
    </w:p>
    <w:p>
      <w:pPr>
        <w:pStyle w:val="Heading2"/>
        <w:spacing w:after="80" w:before="160"/>
      </w:pPr>
      <w:r>
        <w:t xml:space="preserve">Komunikasi dengan Pemberi Kerja</w:t>
      </w:r>
    </w:p>
    <w:p>
      <w:pPr>
        <w:spacing w:after="120"/>
      </w:pPr>
      <w:r>
        <w:rPr>
          <w:i w:val="false"/>
          <w:iCs w:val="false"/>
          <w:sz w:val="22"/>
          <w:szCs w:val="22"/>
        </w:rPr>
        <w:t xml:space="preserve">Komunikasi dengan pemberi kerja (dengan persetujuan pasien) tentang keterbatasan fungsional sementara — bukan diagnosis rinci yang bersifat rahasia medis — merupakan keterampilan yang menyeimbangkan kerahasiaan dengan kebutuhan praktis tempat kerja.</w:t>
      </w:r>
    </w:p>
    <w:p>
      <w:pPr>
        <w:pStyle w:val="Heading1"/>
        <w:spacing w:after="120" w:before="300"/>
      </w:pPr>
      <w:r>
        <w:t xml:space="preserve">BAB VIII — Penjenjangan Capaian Pembelajaran Tahun I–IV</w:t>
      </w:r>
    </w:p>
    <w:p>
      <w:pPr>
        <w:spacing w:after="140"/>
      </w:pPr>
      <w:r>
        <w:rPr>
          <w:sz w:val="22"/>
          <w:szCs w:val="22"/>
        </w:rPr>
        <w:t xml:space="preserve">Penjenjangan berikut merupakan usulan kerangka penahapan berbasis pola umum pendidikan spesialis empat tahun, disesuaikan dengan komponen kompetensi ke-6 pada Tabel 10 Kepkonsil No. HK.01.02/KKI/1318/2026.</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shd w:fill="1c2749" w:val="clear"/>
          </w:tcPr>
          <w:p>
            <w:r>
              <w:rPr>
                <w:b/>
                <w:bCs/>
                <w:color w:val="FFFFFF"/>
                <w:sz w:val="20"/>
                <w:szCs w:val="20"/>
              </w:rPr>
              <w:t xml:space="preserve">Tahun</w:t>
            </w:r>
          </w:p>
        </w:tc>
        <w:tc>
          <w:tcPr>
            <w:shd w:fill="1c2749" w:val="clear"/>
          </w:tcPr>
          <w:p>
            <w:r>
              <w:rPr>
                <w:b/>
                <w:bCs/>
                <w:color w:val="FFFFFF"/>
                <w:sz w:val="20"/>
                <w:szCs w:val="20"/>
              </w:rPr>
              <w:t xml:space="preserve">Fokus Belajar Utama</w:t>
            </w:r>
          </w:p>
        </w:tc>
        <w:tc>
          <w:tcPr>
            <w:shd w:fill="1c2749" w:val="clear"/>
          </w:tcPr>
          <w:p>
            <w:r>
              <w:rPr>
                <w:b/>
                <w:bCs/>
                <w:color w:val="FFFFFF"/>
                <w:sz w:val="20"/>
                <w:szCs w:val="20"/>
              </w:rPr>
              <w:t xml:space="preserve">Tingkat Kemandirian</w:t>
            </w:r>
          </w:p>
        </w:tc>
        <w:tc>
          <w:tcPr>
            <w:shd w:fill="1c2749" w:val="clear"/>
          </w:tcPr>
          <w:p>
            <w:r>
              <w:rPr>
                <w:b/>
                <w:bCs/>
                <w:color w:val="FFFFFF"/>
                <w:sz w:val="20"/>
                <w:szCs w:val="20"/>
              </w:rPr>
              <w:t xml:space="preserve">Capaian yang Diharapkan</w:t>
            </w:r>
          </w:p>
        </w:tc>
      </w:tr>
      <w:tr>
        <w:tc>
          <w:p>
            <w:r>
              <w:rPr>
                <w:sz w:val="19"/>
                <w:szCs w:val="19"/>
              </w:rPr>
              <w:t xml:space="preserve">Tahun I</w:t>
            </w:r>
          </w:p>
        </w:tc>
        <w:tc>
          <w:p>
            <w:r>
              <w:rPr>
                <w:sz w:val="19"/>
                <w:szCs w:val="19"/>
              </w:rPr>
              <w:t xml:space="preserve">Mengenali pertanyaan skrining pekerjaan dasar dan mempraktikkannya di bawah observasi.</w:t>
            </w:r>
          </w:p>
        </w:tc>
        <w:tc>
          <w:p>
            <w:r>
              <w:rPr>
                <w:sz w:val="19"/>
                <w:szCs w:val="19"/>
              </w:rPr>
              <w:t xml:space="preserve">Setiap kasus dijalani bersama pembimbing secara langsung.</w:t>
            </w:r>
          </w:p>
        </w:tc>
        <w:tc>
          <w:p>
            <w:r>
              <w:rPr>
                <w:sz w:val="19"/>
                <w:szCs w:val="19"/>
              </w:rPr>
              <w:t xml:space="preserve">Mampu menyertakan riwayat pekerjaan dalam anamnesis dengan supervisi penuh.</w:t>
            </w:r>
          </w:p>
        </w:tc>
      </w:tr>
      <w:tr>
        <w:tc>
          <w:p>
            <w:r>
              <w:rPr>
                <w:sz w:val="19"/>
                <w:szCs w:val="19"/>
              </w:rPr>
              <w:t xml:space="preserve">Tahun II</w:t>
            </w:r>
          </w:p>
        </w:tc>
        <w:tc>
          <w:p>
            <w:r>
              <w:rPr>
                <w:sz w:val="19"/>
                <w:szCs w:val="19"/>
              </w:rPr>
              <w:t xml:space="preserve">Menerapkan identifikasi penyakit akibat kerja umum dan penilaian kelaikan kerja dasar dengan bimbingan tidak langsung.</w:t>
            </w:r>
          </w:p>
        </w:tc>
        <w:tc>
          <w:p>
            <w:r>
              <w:rPr>
                <w:sz w:val="19"/>
                <w:szCs w:val="19"/>
              </w:rPr>
              <w:t xml:space="preserve">Mulai berjalan sendiri, tetap berkonsultasi saat menemui keraguan.</w:t>
            </w:r>
          </w:p>
        </w:tc>
        <w:tc>
          <w:p>
            <w:r>
              <w:rPr>
                <w:sz w:val="19"/>
                <w:szCs w:val="19"/>
              </w:rPr>
              <w:t xml:space="preserve">Mampu mengenali pola gejala terkait pekerjaan dan menyusun rekomendasi kelaikan kerja sederhana.</w:t>
            </w:r>
          </w:p>
        </w:tc>
      </w:tr>
      <w:tr>
        <w:tc>
          <w:p>
            <w:r>
              <w:rPr>
                <w:sz w:val="19"/>
                <w:szCs w:val="19"/>
              </w:rPr>
              <w:t xml:space="preserve">Tahun III</w:t>
            </w:r>
          </w:p>
        </w:tc>
        <w:tc>
          <w:p>
            <w:r>
              <w:rPr>
                <w:sz w:val="19"/>
                <w:szCs w:val="19"/>
              </w:rPr>
              <w:t xml:space="preserve">Mengintegrasikan tata laksana penyakit terkait kerja kompleks dan menyusun rencana return-to-work bertahap.</w:t>
            </w:r>
          </w:p>
        </w:tc>
        <w:tc>
          <w:p>
            <w:r>
              <w:rPr>
                <w:sz w:val="19"/>
                <w:szCs w:val="19"/>
              </w:rPr>
              <w:t xml:space="preserve">Sebagian besar mandiri, dengan pemantauan berkala dari pembimbing.</w:t>
            </w:r>
          </w:p>
        </w:tc>
        <w:tc>
          <w:p>
            <w:r>
              <w:rPr>
                <w:sz w:val="19"/>
                <w:szCs w:val="19"/>
              </w:rPr>
              <w:t xml:space="preserve">Mampu menyusun rencana return-to-work dan berkomunikasi dengan pemberi kerja secara tepat.</w:t>
            </w:r>
          </w:p>
        </w:tc>
      </w:tr>
      <w:tr>
        <w:tc>
          <w:p>
            <w:r>
              <w:rPr>
                <w:sz w:val="19"/>
                <w:szCs w:val="19"/>
              </w:rPr>
              <w:t xml:space="preserve">Tahun IV</w:t>
            </w:r>
          </w:p>
        </w:tc>
        <w:tc>
          <w:p>
            <w:r>
              <w:rPr>
                <w:sz w:val="19"/>
                <w:szCs w:val="19"/>
              </w:rPr>
              <w:t xml:space="preserve">Membimbing peserta didik junior dalam kesehatan kerja layanan primer; menjadi rujukan internal wahana.</w:t>
            </w:r>
          </w:p>
        </w:tc>
        <w:tc>
          <w:p>
            <w:r>
              <w:rPr>
                <w:sz w:val="19"/>
                <w:szCs w:val="19"/>
              </w:rPr>
              <w:t xml:space="preserve">Mandiri penuh dan mulai mengambil peran sebagai mentor junior.</w:t>
            </w:r>
          </w:p>
        </w:tc>
        <w:tc>
          <w:p>
            <w:r>
              <w:rPr>
                <w:sz w:val="19"/>
                <w:szCs w:val="19"/>
              </w:rPr>
              <w:t xml:space="preserve">Mampu mengaudit mutu penilaian kelaikan kerja oleh peserta didik lain.</w:t>
            </w:r>
          </w:p>
        </w:tc>
      </w:tr>
    </w:tbl>
    <w:p>
      <w:pPr>
        <w:spacing w:after="200"/>
      </w:pPr>
    </w:p>
    <w:p>
      <w:pPr>
        <w:pStyle w:val="Heading1"/>
        <w:spacing w:after="120" w:before="200"/>
      </w:pPr>
      <w:r>
        <w:t xml:space="preserve">BAB IX — Evaluasi Diri dan Pertanyaan Reflektif</w:t>
      </w:r>
    </w:p>
    <w:p>
      <w:pPr>
        <w:spacing w:after="100"/>
      </w:pPr>
      <w:r>
        <w:rPr>
          <w:sz w:val="22"/>
          <w:szCs w:val="22"/>
        </w:rPr>
        <w:t xml:space="preserve">• Apakah saya secara rutin menanyakan riwayat pekerjaan dalam anamnesis pasien dewasa?</w:t>
      </w:r>
    </w:p>
    <w:p>
      <w:pPr>
        <w:spacing w:after="100"/>
      </w:pPr>
      <w:r>
        <w:rPr>
          <w:sz w:val="22"/>
          <w:szCs w:val="22"/>
        </w:rPr>
        <w:t xml:space="preserve">• Apakah saya dapat membedakan penyakit akibat kerja dari penyakit terkait kerja?</w:t>
      </w:r>
    </w:p>
    <w:p>
      <w:pPr>
        <w:spacing w:after="100"/>
      </w:pPr>
      <w:r>
        <w:rPr>
          <w:sz w:val="22"/>
          <w:szCs w:val="22"/>
        </w:rPr>
        <w:t xml:space="preserve">• Apakah saya memahami prinsip dasar penilaian kelaikan kerja berbasis tuntutan fungsional pekerjaan?</w:t>
      </w:r>
    </w:p>
    <w:p>
      <w:pPr>
        <w:spacing w:after="100"/>
      </w:pPr>
      <w:r>
        <w:rPr>
          <w:sz w:val="22"/>
          <w:szCs w:val="22"/>
        </w:rPr>
        <w:t xml:space="preserve">• Apakah saya dapat menyusun rencana return-to-work bertahap pasca-sakit/cedera?</w:t>
      </w:r>
    </w:p>
    <w:p>
      <w:pPr>
        <w:spacing w:after="100"/>
      </w:pPr>
      <w:r>
        <w:rPr>
          <w:sz w:val="22"/>
          <w:szCs w:val="22"/>
        </w:rPr>
        <w:t xml:space="preserve">• Apakah saya tahu kapan merujuk kasus ke layanan kesehatan kerja spesialistik?</w:t>
      </w:r>
    </w:p>
    <w:p>
      <w:pPr>
        <w:pStyle w:val="Heading1"/>
        <w:spacing w:after="120" w:before="300"/>
      </w:pPr>
      <w:r>
        <w:t xml:space="preserve">BAB X — Penutup</w:t>
      </w:r>
    </w:p>
    <w:p>
      <w:pPr>
        <w:spacing w:after="140"/>
      </w:pPr>
      <w:r>
        <w:rPr>
          <w:sz w:val="22"/>
          <w:szCs w:val="22"/>
        </w:rPr>
        <w:t xml:space="preserve">Kesehatan kerja bukan domain eksklusif layanan kesehatan perusahaan besar — bagi mayoritas pekerja Indonesia di sektor informal, layanan primer adalah satu-satunya akses. Buku ini melengkapi B2 dan B6 dengan lensa okupasional yang sering hilang dari anamnesis rutin.</w:t>
      </w:r>
    </w:p>
    <w:p>
      <w:pPr>
        <w:spacing w:after="200"/>
      </w:pPr>
      <w:r>
        <w:rPr>
          <w:sz w:val="22"/>
          <w:szCs w:val="22"/>
        </w:rPr>
        <w:t xml:space="preserve">Buku ini disusun merujuk pada standar nasional (Tabel 10 Kepkonsil No. HK.01.02/KKI/1318/2026, komponen kompetensi ke-6) dan standar internasional dari World Health Organization — Occupational Health: A Manual for Primary Health Care Workers (https://iris.who.int/handle/10665/116326).</w:t>
      </w:r>
    </w:p>
    <w:p>
      <w:pPr>
        <w:spacing w:after="100" w:before="100"/>
      </w:pPr>
      <w:r>
        <w:rPr>
          <w:b/>
          <w:bCs/>
          <w:color w:val="1c2749"/>
          <w:sz w:val="24"/>
          <w:szCs w:val="24"/>
        </w:rPr>
        <w:t xml:space="preserve">Glosarium</w:t>
      </w:r>
    </w:p>
    <w:p>
      <w:pPr>
        <w:spacing w:after="20"/>
      </w:pPr>
      <w:r>
        <w:rPr>
          <w:b/>
          <w:bCs/>
          <w:sz w:val="21"/>
          <w:szCs w:val="21"/>
        </w:rPr>
        <w:t xml:space="preserve">Penyakit akibat kerja</w:t>
      </w:r>
    </w:p>
    <w:p>
      <w:pPr>
        <w:spacing w:after="100"/>
      </w:pPr>
      <w:r>
        <w:rPr>
          <w:color w:val="374151"/>
          <w:sz w:val="20"/>
          <w:szCs w:val="20"/>
        </w:rPr>
        <w:t xml:space="preserve">Penyakit yang penyebab utamanya adalah paparan spesifik di tempat kerja.</w:t>
      </w:r>
    </w:p>
    <w:p>
      <w:pPr>
        <w:spacing w:after="20"/>
      </w:pPr>
      <w:r>
        <w:rPr>
          <w:b/>
          <w:bCs/>
          <w:sz w:val="21"/>
          <w:szCs w:val="21"/>
        </w:rPr>
        <w:t xml:space="preserve">Penyakit terkait kerja</w:t>
      </w:r>
    </w:p>
    <w:p>
      <w:pPr>
        <w:spacing w:after="100"/>
      </w:pPr>
      <w:r>
        <w:rPr>
          <w:color w:val="374151"/>
          <w:sz w:val="20"/>
          <w:szCs w:val="20"/>
        </w:rPr>
        <w:t xml:space="preserve">Penyakit multifaktorial yang diperberat oleh kondisi kerja, namun bukan disebabkan tunggal oleh pekerjaan.</w:t>
      </w:r>
    </w:p>
    <w:p>
      <w:pPr>
        <w:spacing w:after="20"/>
      </w:pPr>
      <w:r>
        <w:rPr>
          <w:b/>
          <w:bCs/>
          <w:sz w:val="21"/>
          <w:szCs w:val="21"/>
        </w:rPr>
        <w:t xml:space="preserve">Return-to-work bertahap</w:t>
      </w:r>
    </w:p>
    <w:p>
      <w:pPr>
        <w:spacing w:after="100"/>
      </w:pPr>
      <w:r>
        <w:rPr>
          <w:color w:val="374151"/>
          <w:sz w:val="20"/>
          <w:szCs w:val="20"/>
        </w:rPr>
        <w:t xml:space="preserve">Proses kembali bekerja secara bertahap dengan modifikasi tugas/jam kerja sementara.</w:t>
      </w:r>
    </w:p>
    <w:p>
      <w:pPr>
        <w:spacing w:after="100" w:before="100"/>
      </w:pPr>
      <w:r>
        <w:rPr>
          <w:b/>
          <w:bCs/>
          <w:color w:val="1c2749"/>
          <w:sz w:val="24"/>
          <w:szCs w:val="24"/>
        </w:rPr>
        <w:t xml:space="preserve">Daftar Pustaka</w:t>
      </w:r>
    </w:p>
    <w:p>
      <w:pPr>
        <w:spacing w:after="80"/>
      </w:pPr>
      <w:r>
        <w:rPr>
          <w:sz w:val="20"/>
          <w:szCs w:val="20"/>
        </w:rPr>
        <w:t xml:space="preserve">1. World Health Organization Regional Office for the Eastern Mediterranean. Occupational Health: A Manual for Primary Health Care Workers. https://iris.who.int/handle/10665/116326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2026-08-27T03:32:34.535Z</dcterms:created>
  <dcterms:modified xsi:type="dcterms:W3CDTF">2026-08-27T03:32:34.535Z</dcterms:modified>
</cp:coreProperties>
</file>

<file path=docProps/custom.xml><?xml version="1.0" encoding="utf-8"?>
<Properties xmlns="http://schemas.openxmlformats.org/officeDocument/2006/custom-properties" xmlns:vt="http://schemas.openxmlformats.org/officeDocument/2006/docPropsVTypes"/>
</file>