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B12 · PERPUSTAKAAN DIGITAL ABBA</w:t>
      </w:r>
    </w:p>
    <w:p>
      <w:pPr>
        <w:pStyle w:val="Title"/>
        <w:spacing w:after="120"/>
      </w:pPr>
      <w:r>
        <w:t xml:space="preserve">Kesehatan Perempuan Sepanjang Siklus Hidup di Layanan Primer</w:t>
      </w:r>
    </w:p>
    <w:p>
      <w:pPr>
        <w:spacing w:after="300"/>
      </w:pPr>
      <w:r>
        <w:rPr>
          <w:i/>
          <w:iCs/>
          <w:color w:val="5B6478"/>
          <w:sz w:val="20"/>
          <w:szCs w:val="20"/>
        </w:rPr>
        <w:t xml:space="preserve">Dr.dr. H. Budi Siswanto, Sp.OG, Subsp.Obginsos., SH., S.Kom. · 2026</w:t>
      </w:r>
    </w:p>
    <w:p>
      <w:pPr>
        <w:pStyle w:val="Heading1"/>
        <w:spacing w:after="120" w:before="300"/>
      </w:pPr>
      <w:r>
        <w:t xml:space="preserve">BAB I — Kerangka Siklus Hidup dalam Kesehatan Perempuan</w:t>
      </w:r>
    </w:p>
    <w:p>
      <w:pPr>
        <w:pStyle w:val="Heading2"/>
        <w:spacing w:after="80" w:before="160"/>
      </w:pPr>
      <w:r>
        <w:t xml:space="preserve">Mengapa Fase Non-Hamil Sering Terabaikan</w:t>
      </w:r>
    </w:p>
    <w:p>
      <w:pPr>
        <w:spacing w:after="120"/>
      </w:pPr>
      <w:r>
        <w:rPr>
          <w:i/>
          <w:iCs/>
          <w:sz w:val="22"/>
          <w:szCs w:val="22"/>
        </w:rPr>
        <w:t xml:space="preserve">Dokter layanan primer sering secara reflektif menyamakan 'kesehatan perempuan' dengan 'kesehatan kehamilan'. Padahal perempuan menghabiskan sebagian besar hidupnya dalam fase non-hamil: remaja, usia reproduksi aktif tanpa kehamilan, perimenopause, menopause, dan lansia.</w:t>
      </w:r>
    </w:p>
    <w:p>
      <w:pPr>
        <w:spacing w:after="120"/>
      </w:pPr>
      <w:r>
        <w:rPr>
          <w:i w:val="false"/>
          <w:iCs w:val="false"/>
          <w:sz w:val="22"/>
          <w:szCs w:val="22"/>
        </w:rPr>
        <w:t xml:space="preserve">Setiap fase memiliki kebutuhan kesehatan berbeda yang sering luput dari perhatian sistematis karena sistem layanan primer umumnya terorganisasi di sekitar episode kehamilan (kelas ibu hamil, posyandu, ANC terpadu), bukan di sekitar keberlangsungan kesehatan perempuan lintas fase.</w:t>
      </w:r>
    </w:p>
    <w:p>
      <w:pPr>
        <w:pStyle w:val="Heading2"/>
        <w:spacing w:after="80" w:before="160"/>
      </w:pPr>
      <w:r>
        <w:t xml:space="preserve">Pendekatan Life-Course dalam Praktik Klinis</w:t>
      </w:r>
    </w:p>
    <w:p>
      <w:pPr>
        <w:spacing w:after="120"/>
      </w:pPr>
      <w:r>
        <w:rPr>
          <w:i w:val="false"/>
          <w:iCs w:val="false"/>
          <w:sz w:val="22"/>
          <w:szCs w:val="22"/>
        </w:rPr>
        <w:t xml:space="preserve">WONCA Working Party on Women and Family Medicine menegaskan bahwa perawatan perempuan komprehensif mensyaratkan dokter keluarga memahami interaksi faktor biologis, psikologis, dan sosial sepanjang siklus hidup, bukan hanya episode kehamilan.</w:t>
      </w:r>
    </w:p>
    <w:p>
      <w:pPr>
        <w:spacing w:after="120"/>
      </w:pPr>
      <w:r>
        <w:rPr>
          <w:i w:val="false"/>
          <w:iCs w:val="false"/>
          <w:sz w:val="22"/>
          <w:szCs w:val="22"/>
        </w:rPr>
        <w:t xml:space="preserve">Pendekatan berbasis siklus hidup memungkinkan antisipasi transisi kesehatan yang dapat diprediksi — perubahan pola haid perimenopause, peningkatan risiko kardiovaskular pasca-menopause, atau kerentanan depresi pada transisi hormonal — sebelum menjadi krisis klinis.</w:t>
      </w:r>
    </w:p>
    <w:p>
      <w:pPr>
        <w:pStyle w:val="Heading1"/>
        <w:spacing w:after="120" w:before="300"/>
      </w:pPr>
      <w:r>
        <w:t xml:space="preserve">BAB II — Skrining Kesehatan Perempuan Usia Reproduksi</w:t>
      </w:r>
    </w:p>
    <w:p>
      <w:pPr>
        <w:pStyle w:val="Heading2"/>
        <w:spacing w:after="80" w:before="160"/>
      </w:pPr>
      <w:r>
        <w:t xml:space="preserve">Komponen Skrining Rutin</w:t>
      </w:r>
    </w:p>
    <w:p>
      <w:pPr>
        <w:spacing w:after="120"/>
      </w:pPr>
      <w:r>
        <w:rPr>
          <w:i w:val="false"/>
          <w:iCs w:val="false"/>
          <w:sz w:val="22"/>
          <w:szCs w:val="22"/>
        </w:rPr>
        <w:t xml:space="preserve">Konsultasi rutin perempuan usia reproduksi (15–49 tahun) adalah peluang skrining yang sering terlewat: tekanan darah dan indeks massa tubuh, riwayat haid, status kontrasepsi non-darurat, riwayat skrining kanker serviks, dan status vaksinasi HPV.</w:t>
      </w:r>
    </w:p>
    <w:p>
      <w:pPr>
        <w:spacing w:after="120"/>
      </w:pPr>
      <w:r>
        <w:rPr>
          <w:i w:val="false"/>
          <w:iCs w:val="false"/>
          <w:sz w:val="22"/>
          <w:szCs w:val="22"/>
        </w:rPr>
        <w:t xml:space="preserve">Skrining idealnya dilekatkan pada kunjungan apa pun — bukan menunggu kunjungan khusus 'kesehatan perempuan' — mengingat banyak perempuan usia produktif jarang datang ke fasilitas kesehatan tanpa keluhan akut.</w:t>
      </w:r>
    </w:p>
    <w:p>
      <w:pPr>
        <w:pStyle w:val="Heading2"/>
        <w:spacing w:after="80" w:before="160"/>
      </w:pPr>
      <w:r>
        <w:t xml:space="preserve">Skrining Kekerasan dalam Rumah Tangga</w:t>
      </w:r>
    </w:p>
    <w:p>
      <w:pPr>
        <w:spacing w:after="120"/>
      </w:pPr>
      <w:r>
        <w:rPr>
          <w:i w:val="false"/>
          <w:iCs w:val="false"/>
          <w:sz w:val="22"/>
          <w:szCs w:val="22"/>
        </w:rPr>
        <w:t xml:space="preserve">Penapisan kekerasan dalam rumah tangga idealnya dilakukan dengan pertanyaan terbuka dan tidak menghakimi, dalam ruang privat tanpa kehadiran pasangan, dan tidak dipaksakan bila pasien belum siap mengungkapkan.</w:t>
      </w:r>
    </w:p>
    <w:p>
      <w:pPr>
        <w:spacing w:after="120"/>
      </w:pPr>
      <w:r>
        <w:rPr>
          <w:i w:val="false"/>
          <w:iCs w:val="false"/>
          <w:sz w:val="22"/>
          <w:szCs w:val="22"/>
        </w:rPr>
        <w:t xml:space="preserve">Dokumentasi yang cermat namun berhati-hati — mencatat temuan objektif tanpa menyimpulkan penyebab secara prematur — penting bila kelak diperlukan sebagai bukti pendukung proses hukum.</w:t>
      </w:r>
    </w:p>
    <w:p>
      <w:pPr>
        <w:pStyle w:val="Heading1"/>
        <w:spacing w:after="120" w:before="300"/>
      </w:pPr>
      <w:r>
        <w:t xml:space="preserve">BAB III — Gangguan Haid dan Kesehatan Payudara Non-Onkologis</w:t>
      </w:r>
    </w:p>
    <w:p>
      <w:pPr>
        <w:pStyle w:val="Heading2"/>
        <w:spacing w:after="80" w:before="160"/>
      </w:pPr>
      <w:r>
        <w:t xml:space="preserve">Dismenore dan Perdarahan Uterus Abnormal</w:t>
      </w:r>
    </w:p>
    <w:p>
      <w:pPr>
        <w:spacing w:after="120"/>
      </w:pPr>
      <w:r>
        <w:rPr>
          <w:i w:val="false"/>
          <w:iCs w:val="false"/>
          <w:sz w:val="22"/>
          <w:szCs w:val="22"/>
        </w:rPr>
        <w:t xml:space="preserve">Dismenore, perdarahan uterus abnormal, dan sindrom pramenstruasi berat kerap dianggap 'wajar' sehingga tidak mendapat tata laksana adekuat. Dokter perlu proaktif menanyakan dampak gangguan haid terhadap fungsi harian pasien (sekolah, kerja, hubungan sosial) sebagai indikator kebutuhan intervensi.</w:t>
      </w:r>
    </w:p>
    <w:p>
      <w:pPr>
        <w:spacing w:after="120"/>
      </w:pPr>
      <w:r>
        <w:rPr>
          <w:i w:val="false"/>
          <w:iCs w:val="false"/>
          <w:sz w:val="22"/>
          <w:szCs w:val="22"/>
        </w:rPr>
        <w:t xml:space="preserve">Tata laksana lini pertama dismenore primer meliputi analgesik anti-inflamasi nonsteroid yang dikonsumsi sejak awal siklus nyeri (bukan menunggu nyeri memuncak), serta pertimbangan kontrasepsi hormonal kombinasi bila pasien memerlukan kontrasepsi sekaligus.</w:t>
      </w:r>
    </w:p>
    <w:p>
      <w:pPr>
        <w:pStyle w:val="Heading2"/>
        <w:spacing w:after="80" w:before="160"/>
      </w:pPr>
      <w:r>
        <w:t xml:space="preserve">Kesehatan Payudara Non-Onkologis</w:t>
      </w:r>
    </w:p>
    <w:p>
      <w:pPr>
        <w:spacing w:after="120"/>
      </w:pPr>
      <w:r>
        <w:rPr>
          <w:i w:val="false"/>
          <w:iCs w:val="false"/>
          <w:sz w:val="22"/>
          <w:szCs w:val="22"/>
        </w:rPr>
        <w:t xml:space="preserve">Mastalgia siklik dan perubahan fibrokistik payudara memerlukan edukasi berbasis bukti dan reassurance, karena keduanya lazim dialami perempuan usia reproduksi dan umumnya jinak.</w:t>
      </w:r>
    </w:p>
    <w:p>
      <w:pPr>
        <w:spacing w:after="120"/>
      </w:pPr>
      <w:r>
        <w:rPr>
          <w:i w:val="false"/>
          <w:iCs w:val="false"/>
          <w:sz w:val="22"/>
          <w:szCs w:val="22"/>
        </w:rPr>
        <w:t xml:space="preserve">Red flag yang memerlukan rujukan segera: benjolan baru yang menetap melewati satu siklus haid, perubahan kulit (peau d'orange, retraksi puting), atau keluarnya cairan dari puting di luar konteks laktasi.</w:t>
      </w:r>
    </w:p>
    <w:p>
      <w:pPr>
        <w:pStyle w:val="Heading1"/>
        <w:spacing w:after="120" w:before="300"/>
      </w:pPr>
      <w:r>
        <w:t xml:space="preserve">BAB IV — Transisi Perimenopause dan Menopause</w:t>
      </w:r>
    </w:p>
    <w:p>
      <w:pPr>
        <w:pStyle w:val="Heading2"/>
        <w:spacing w:after="80" w:before="160"/>
      </w:pPr>
      <w:r>
        <w:t xml:space="preserve">Mengenali Gejala Perimenopause</w:t>
      </w:r>
    </w:p>
    <w:p>
      <w:pPr>
        <w:spacing w:after="120"/>
      </w:pPr>
      <w:r>
        <w:rPr>
          <w:i w:val="false"/>
          <w:iCs w:val="false"/>
          <w:sz w:val="22"/>
          <w:szCs w:val="22"/>
        </w:rPr>
        <w:t xml:space="preserve">Perimenopause — transisi 4 hingga 8 tahun menjelang menopause — ditandai fluktuasi hormonal yang menimbulkan gejala vasomotor (hot flashes, keringat malam), gangguan tidur, perubahan mood, dan perubahan pola haid.</w:t>
      </w:r>
    </w:p>
    <w:p>
      <w:pPr>
        <w:spacing w:after="120"/>
      </w:pPr>
      <w:r>
        <w:rPr>
          <w:i w:val="false"/>
          <w:iCs w:val="false"/>
          <w:sz w:val="22"/>
          <w:szCs w:val="22"/>
        </w:rPr>
        <w:t xml:space="preserve">Banyak perempuan mencari pertolongan untuk masing-masing gejala secara terpisah (insomnia, ansietas, nyeri sendi) tanpa menyadari keterkaitannya dengan transisi hormonal yang sedang berlangsung.</w:t>
      </w:r>
    </w:p>
    <w:p>
      <w:pPr>
        <w:pStyle w:val="Heading2"/>
        <w:spacing w:after="80" w:before="160"/>
      </w:pPr>
      <w:r>
        <w:t xml:space="preserve">Opsi Tata Laksana: Hormonal dan Non-Hormonal</w:t>
      </w:r>
    </w:p>
    <w:p>
      <w:pPr>
        <w:spacing w:after="120"/>
      </w:pPr>
      <w:r>
        <w:rPr>
          <w:i w:val="false"/>
          <w:iCs w:val="false"/>
          <w:sz w:val="22"/>
          <w:szCs w:val="22"/>
        </w:rPr>
        <w:t xml:space="preserve">Terapi hormon menopause dapat dipertimbangkan pada perempuan dengan gejala vasomotor bermakna, setelah mendiskusikan manfaat-risiko individual — usia saat memulai, riwayat kardiovaskular, dan riwayat kanker payudara memengaruhi kelayakan terapi ini.</w:t>
      </w:r>
    </w:p>
    <w:p>
      <w:pPr>
        <w:spacing w:after="120"/>
      </w:pPr>
      <w:r>
        <w:rPr>
          <w:i w:val="false"/>
          <w:iCs w:val="false"/>
          <w:sz w:val="22"/>
          <w:szCs w:val="22"/>
        </w:rPr>
        <w:t xml:space="preserve">Bagi perempuan dengan kontraindikasi atau preferensi menghindari hormon, pendekatan non-hormonal (modifikasi gaya hidup, terapi kognitif-perilaku untuk gejala vasomotor, sejumlah golongan obat non-hormonal) tetap dapat menawarkan perbaikan bermakna.</w:t>
      </w:r>
    </w:p>
    <w:p>
      <w:pPr>
        <w:pStyle w:val="Heading2"/>
        <w:spacing w:after="80" w:before="160"/>
      </w:pPr>
      <w:r>
        <w:t xml:space="preserve">Menopause dan Risiko Kesehatan Jangka Panjang</w:t>
      </w:r>
    </w:p>
    <w:p>
      <w:pPr>
        <w:spacing w:after="120"/>
      </w:pPr>
      <w:r>
        <w:rPr>
          <w:i w:val="false"/>
          <w:iCs w:val="false"/>
          <w:sz w:val="22"/>
          <w:szCs w:val="22"/>
        </w:rPr>
        <w:t xml:space="preserve">Menopause menandai peningkatan risiko kardiovaskular dan osteoporosis akibat penurunan estrogen. Konsultasi periode ini menjadi momentum skrining faktor risiko kardiovaskular dan diskusi kesehatan tulang.</w:t>
      </w:r>
    </w:p>
    <w:p>
      <w:pPr>
        <w:spacing w:after="120"/>
      </w:pPr>
      <w:r>
        <w:rPr>
          <w:i w:val="false"/>
          <w:iCs w:val="false"/>
          <w:sz w:val="22"/>
          <w:szCs w:val="22"/>
        </w:rPr>
        <w:t xml:space="preserve">Integrasi lintas-buku penting di sini: temuan kardiometabolik dirujuk ke kerangka B2, dan kesinambungan menuju usia lanjut dirujuk ke B6, agar perempuan tidak 'hilang' dari sistem pemantauan begitu keluhan haid berhenti.</w:t>
      </w:r>
    </w:p>
    <w:p>
      <w:pPr>
        <w:pStyle w:val="Heading1"/>
        <w:spacing w:after="120" w:before="300"/>
      </w:pPr>
      <w:r>
        <w:t xml:space="preserve">BAB V — Kekerasan Berbasis Gender di Layanan Primer</w:t>
      </w:r>
    </w:p>
    <w:p>
      <w:pPr>
        <w:pStyle w:val="Heading2"/>
        <w:spacing w:after="80" w:before="160"/>
      </w:pPr>
      <w:r>
        <w:t xml:space="preserve">Mengenali Pola Presentasi Klinis Tersembunyi</w:t>
      </w:r>
    </w:p>
    <w:p>
      <w:pPr>
        <w:spacing w:after="120"/>
      </w:pPr>
      <w:r>
        <w:rPr>
          <w:i w:val="false"/>
          <w:iCs w:val="false"/>
          <w:sz w:val="22"/>
          <w:szCs w:val="22"/>
        </w:rPr>
        <w:t xml:space="preserve">Layanan primer sering menjadi titik kontak pertama — kadang satu-satunya — bagi perempuan yang mengalami kekerasan dalam rumah tangga, meski keluhan yang disampaikan tampak tidak berkaitan langsung: nyeri kronis tanpa penjelasan, gejala somatik berulang, atau kecemasan yang sulit dijelaskan.</w:t>
      </w:r>
    </w:p>
    <w:p>
      <w:pPr>
        <w:spacing w:after="120"/>
      </w:pPr>
      <w:r>
        <w:rPr>
          <w:i w:val="false"/>
          <w:iCs w:val="false"/>
          <w:sz w:val="22"/>
          <w:szCs w:val="22"/>
        </w:rPr>
        <w:t xml:space="preserve">Dokter perlu mengenali pola ini dan tidak berhenti pada tata laksana simtomatik semata ketika pola presentasi berulang mengarah pada kemungkinan sumber tekanan psikososial yang tidak terungkap.</w:t>
      </w:r>
    </w:p>
    <w:p>
      <w:pPr>
        <w:pStyle w:val="Heading2"/>
        <w:spacing w:after="80" w:before="160"/>
      </w:pPr>
      <w:r>
        <w:t xml:space="preserve">Jalur Rujukan dan Kolaborasi Lintas-Sektor</w:t>
      </w:r>
    </w:p>
    <w:p>
      <w:pPr>
        <w:spacing w:after="120"/>
      </w:pPr>
      <w:r>
        <w:rPr>
          <w:i w:val="false"/>
          <w:iCs w:val="false"/>
          <w:sz w:val="22"/>
          <w:szCs w:val="22"/>
        </w:rPr>
        <w:t xml:space="preserve">Dokter perlu memiliki jalur rujukan cepat ke dukungan psikososial, hukum, dan tempat aman, bekerja sama dengan struktur komunitas seperti dibahas pada B8.</w:t>
      </w:r>
    </w:p>
    <w:p>
      <w:pPr>
        <w:spacing w:after="120"/>
      </w:pPr>
      <w:r>
        <w:rPr>
          <w:i w:val="false"/>
          <w:iCs w:val="false"/>
          <w:sz w:val="22"/>
          <w:szCs w:val="22"/>
        </w:rPr>
        <w:t xml:space="preserve">Keselamatan pasien menjadi prioritas utama dalam merencanakan intervensi — rujukan yang tergesa tanpa mempertimbangkan risiko keselamatan pasien pasca-konsultasi dapat memperburuk situasi, bukan membantu.</w:t>
      </w:r>
    </w:p>
    <w:p>
      <w:pPr>
        <w:pStyle w:val="Heading1"/>
        <w:spacing w:after="120" w:before="300"/>
      </w:pPr>
      <w:r>
        <w:t xml:space="preserve">BAB VI — Kesehatan Mental Perempuan Sepanjang Siklus Hormonal</w:t>
      </w:r>
    </w:p>
    <w:p>
      <w:pPr>
        <w:pStyle w:val="Heading2"/>
        <w:spacing w:after="80" w:before="160"/>
      </w:pPr>
      <w:r>
        <w:t xml:space="preserve">Pola Epidemiologis Berbeda Sepanjang Siklus Hidup</w:t>
      </w:r>
    </w:p>
    <w:p>
      <w:pPr>
        <w:spacing w:after="120"/>
      </w:pPr>
      <w:r>
        <w:rPr>
          <w:i w:val="false"/>
          <w:iCs w:val="false"/>
          <w:sz w:val="22"/>
          <w:szCs w:val="22"/>
        </w:rPr>
        <w:t xml:space="preserve">Kesehatan mental perempuan memiliki pola epidemiologis berbeda sepanjang siklus hidup: depresi pramenstruasi, depresi pascasalin (beririsan dengan B4), hingga peningkatan risiko gangguan mood pada perimenopause akibat fluktuasi hormonal.</w:t>
      </w:r>
    </w:p>
    <w:p>
      <w:pPr>
        <w:pStyle w:val="Heading2"/>
        <w:spacing w:after="80" w:before="160"/>
      </w:pPr>
      <w:r>
        <w:t xml:space="preserve">Skrining Rutin Lintas Fase Kehidupan</w:t>
      </w:r>
    </w:p>
    <w:p>
      <w:pPr>
        <w:spacing w:after="120"/>
      </w:pPr>
      <w:r>
        <w:rPr>
          <w:i w:val="false"/>
          <w:iCs w:val="false"/>
          <w:sz w:val="22"/>
          <w:szCs w:val="22"/>
        </w:rPr>
        <w:t xml:space="preserve">Skrining kesehatan mental rutin — bukan hanya reaktif terhadap keluhan eksplisit — penting diintegrasikan dalam kunjungan kesehatan perempuan di semua fase kehidupan, mengingat banyak perempuan tidak secara spontan melaporkan tekanan psikologis.</w:t>
      </w:r>
    </w:p>
    <w:p>
      <w:pPr>
        <w:pStyle w:val="Heading1"/>
        <w:spacing w:after="120" w:before="300"/>
      </w:pPr>
      <w:r>
        <w:t xml:space="preserve">BAB VII — Penjenjangan Capaian Pembelajaran Tahun I–IV</w:t>
      </w:r>
    </w:p>
    <w:p>
      <w:pPr>
        <w:spacing w:after="140"/>
      </w:pPr>
      <w:r>
        <w:rPr>
          <w:sz w:val="22"/>
          <w:szCs w:val="22"/>
        </w:rPr>
        <w:t xml:space="preserve">Penjenjangan berikut merupakan usulan kerangka penahapan berbasis pola umum pendidikan spesialis empat tahun, disesuaikan dengan komponen kompetensi ke-4 pada Tabel 10 Kepkonsil No. HK.01.02/KKI/1318/2026.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c2749" w:val="clear"/>
          </w:tcPr>
          <w:p>
            <w:r>
              <w:rPr>
                <w:b/>
                <w:bCs/>
                <w:color w:val="FFFFFF"/>
                <w:sz w:val="20"/>
                <w:szCs w:val="20"/>
              </w:rPr>
              <w:t xml:space="preserve">Tahun</w:t>
            </w:r>
          </w:p>
        </w:tc>
        <w:tc>
          <w:tcPr>
            <w:shd w:fill="1c2749" w:val="clear"/>
          </w:tcPr>
          <w:p>
            <w:r>
              <w:rPr>
                <w:b/>
                <w:bCs/>
                <w:color w:val="FFFFFF"/>
                <w:sz w:val="20"/>
                <w:szCs w:val="20"/>
              </w:rPr>
              <w:t xml:space="preserve">Fokus Belajar Utama</w:t>
            </w:r>
          </w:p>
        </w:tc>
        <w:tc>
          <w:tcPr>
            <w:shd w:fill="1c2749" w:val="clear"/>
          </w:tcPr>
          <w:p>
            <w:r>
              <w:rPr>
                <w:b/>
                <w:bCs/>
                <w:color w:val="FFFFFF"/>
                <w:sz w:val="20"/>
                <w:szCs w:val="20"/>
              </w:rPr>
              <w:t xml:space="preserve">Tingkat Kemandirian</w:t>
            </w:r>
          </w:p>
        </w:tc>
        <w:tc>
          <w:tcPr>
            <w:shd w:fill="1c2749" w:val="clear"/>
          </w:tcPr>
          <w:p>
            <w:r>
              <w:rPr>
                <w:b/>
                <w:bCs/>
                <w:color w:val="FFFFFF"/>
                <w:sz w:val="20"/>
                <w:szCs w:val="20"/>
              </w:rPr>
              <w:t xml:space="preserve">Capaian yang Diharapkan</w:t>
            </w:r>
          </w:p>
        </w:tc>
      </w:tr>
      <w:tr>
        <w:tc>
          <w:p>
            <w:r>
              <w:rPr>
                <w:sz w:val="19"/>
                <w:szCs w:val="19"/>
              </w:rPr>
              <w:t xml:space="preserve">Tahun I</w:t>
            </w:r>
          </w:p>
        </w:tc>
        <w:tc>
          <w:p>
            <w:r>
              <w:rPr>
                <w:sz w:val="19"/>
                <w:szCs w:val="19"/>
              </w:rPr>
              <w:t xml:space="preserve">Mengenali skrining dasar kesehatan perempuan usia reproduksi dan mempraktikkannya di bawah observasi.</w:t>
            </w:r>
          </w:p>
        </w:tc>
        <w:tc>
          <w:p>
            <w:r>
              <w:rPr>
                <w:sz w:val="19"/>
                <w:szCs w:val="19"/>
              </w:rPr>
              <w:t xml:space="preserve">Observasi dan dibimbing langsung pada setiap kasus.</w:t>
            </w:r>
          </w:p>
        </w:tc>
        <w:tc>
          <w:p>
            <w:r>
              <w:rPr>
                <w:sz w:val="19"/>
                <w:szCs w:val="19"/>
              </w:rPr>
              <w:t xml:space="preserve">Mampu melakukan anamnesis haid dan skrining dasar dengan supervisi penuh.</w:t>
            </w:r>
          </w:p>
        </w:tc>
      </w:tr>
      <w:tr>
        <w:tc>
          <w:p>
            <w:r>
              <w:rPr>
                <w:sz w:val="19"/>
                <w:szCs w:val="19"/>
              </w:rPr>
              <w:t xml:space="preserve">Tahun II</w:t>
            </w:r>
          </w:p>
        </w:tc>
        <w:tc>
          <w:p>
            <w:r>
              <w:rPr>
                <w:sz w:val="19"/>
                <w:szCs w:val="19"/>
              </w:rPr>
              <w:t xml:space="preserve">Menerapkan skrining kekerasan berbasis gender dan konseling perimenopause dengan bimbingan tidak langsung.</w:t>
            </w:r>
          </w:p>
        </w:tc>
        <w:tc>
          <w:p>
            <w:r>
              <w:rPr>
                <w:sz w:val="19"/>
                <w:szCs w:val="19"/>
              </w:rPr>
              <w:t xml:space="preserve">Dibimbing tidak langsung; konsultasi bila ragu.</w:t>
            </w:r>
          </w:p>
        </w:tc>
        <w:tc>
          <w:p>
            <w:r>
              <w:rPr>
                <w:sz w:val="19"/>
                <w:szCs w:val="19"/>
              </w:rPr>
              <w:t xml:space="preserve">Mampu melakukan penapisan KBG secara aman dan mendiskusikan opsi terapi hormon menopause dasar.</w:t>
            </w:r>
          </w:p>
        </w:tc>
      </w:tr>
      <w:tr>
        <w:tc>
          <w:p>
            <w:r>
              <w:rPr>
                <w:sz w:val="19"/>
                <w:szCs w:val="19"/>
              </w:rPr>
              <w:t xml:space="preserve">Tahun III</w:t>
            </w:r>
          </w:p>
        </w:tc>
        <w:tc>
          <w:p>
            <w:r>
              <w:rPr>
                <w:sz w:val="19"/>
                <w:szCs w:val="19"/>
              </w:rPr>
              <w:t xml:space="preserve">Mengintegrasikan tata laksana lintas-fase siklus hidup pada kasus kompleks (komorbiditas, kekerasan berlapis).</w:t>
            </w:r>
          </w:p>
        </w:tc>
        <w:tc>
          <w:p>
            <w:r>
              <w:rPr>
                <w:sz w:val="19"/>
                <w:szCs w:val="19"/>
              </w:rPr>
              <w:t xml:space="preserve">Mandiri dengan supervisi berkala/insidental.</w:t>
            </w:r>
          </w:p>
        </w:tc>
        <w:tc>
          <w:p>
            <w:r>
              <w:rPr>
                <w:sz w:val="19"/>
                <w:szCs w:val="19"/>
              </w:rPr>
              <w:t xml:space="preserve">Mampu menyusun rencana perawatan perempuan lintas-fase secara menyeluruh.</w:t>
            </w:r>
          </w:p>
        </w:tc>
      </w:tr>
      <w:tr>
        <w:tc>
          <w:p>
            <w:r>
              <w:rPr>
                <w:sz w:val="19"/>
                <w:szCs w:val="19"/>
              </w:rPr>
              <w:t xml:space="preserve">Tahun IV</w:t>
            </w:r>
          </w:p>
        </w:tc>
        <w:tc>
          <w:p>
            <w:r>
              <w:rPr>
                <w:sz w:val="19"/>
                <w:szCs w:val="19"/>
              </w:rPr>
              <w:t xml:space="preserve">Membimbing peserta didik junior dalam skrining dan konseling kesehatan perempuan; menjadi rujukan internal wahana.</w:t>
            </w:r>
          </w:p>
        </w:tc>
        <w:tc>
          <w:p>
            <w:r>
              <w:rPr>
                <w:sz w:val="19"/>
                <w:szCs w:val="19"/>
              </w:rPr>
              <w:t xml:space="preserve">Mandiri penuh, berperan sebagai pendamping sejawat junior.</w:t>
            </w:r>
          </w:p>
        </w:tc>
        <w:tc>
          <w:p>
            <w:r>
              <w:rPr>
                <w:sz w:val="19"/>
                <w:szCs w:val="19"/>
              </w:rPr>
              <w:t xml:space="preserve">Mampu mengaudit mutu penerapan skrining kesehatan perempuan oleh peserta didik lain.</w:t>
            </w:r>
          </w:p>
        </w:tc>
      </w:tr>
    </w:tbl>
    <w:p>
      <w:pPr>
        <w:spacing w:after="200"/>
      </w:pPr>
    </w:p>
    <w:p>
      <w:pPr>
        <w:pStyle w:val="Heading1"/>
        <w:spacing w:after="120" w:before="200"/>
      </w:pPr>
      <w:r>
        <w:t xml:space="preserve">BAB VIII — Evaluasi Diri dan Pertanyaan Reflektif</w:t>
      </w:r>
    </w:p>
    <w:p>
      <w:pPr>
        <w:spacing w:after="100"/>
      </w:pPr>
      <w:r>
        <w:rPr>
          <w:sz w:val="22"/>
          <w:szCs w:val="22"/>
        </w:rPr>
        <w:t xml:space="preserve">• Apakah saya secara rutin menanyakan riwayat haid dan dampaknya terhadap fungsi harian pasien perempuan?</w:t>
      </w:r>
    </w:p>
    <w:p>
      <w:pPr>
        <w:spacing w:after="100"/>
      </w:pPr>
      <w:r>
        <w:rPr>
          <w:sz w:val="22"/>
          <w:szCs w:val="22"/>
        </w:rPr>
        <w:t xml:space="preserve">• Apakah saya dapat membedakan gejala perimenopause normal dari yang memerlukan tata laksana aktif?</w:t>
      </w:r>
    </w:p>
    <w:p>
      <w:pPr>
        <w:spacing w:after="100"/>
      </w:pPr>
      <w:r>
        <w:rPr>
          <w:sz w:val="22"/>
          <w:szCs w:val="22"/>
        </w:rPr>
        <w:t xml:space="preserve">• Apakah saya memiliki mekanisme aman untuk menapis kemungkinan kekerasan berbasis gender?</w:t>
      </w:r>
    </w:p>
    <w:p>
      <w:pPr>
        <w:spacing w:after="100"/>
      </w:pPr>
      <w:r>
        <w:rPr>
          <w:sz w:val="22"/>
          <w:szCs w:val="22"/>
        </w:rPr>
        <w:t xml:space="preserve">• Kapan terakhir kali saya mendiskusikan opsi terapi hormon menopause secara berimbang dengan pasien?</w:t>
      </w:r>
    </w:p>
    <w:p>
      <w:pPr>
        <w:spacing w:after="100"/>
      </w:pPr>
      <w:r>
        <w:rPr>
          <w:sz w:val="22"/>
          <w:szCs w:val="22"/>
        </w:rPr>
        <w:t xml:space="preserve">• Apakah saya mengaitkan temuan kardiometabolik pasien menopause dengan kerangka B2?</w:t>
      </w:r>
    </w:p>
    <w:p>
      <w:pPr>
        <w:pStyle w:val="Heading1"/>
        <w:spacing w:after="120" w:before="300"/>
      </w:pPr>
      <w:r>
        <w:t xml:space="preserve">BAB IX — Penutup</w:t>
      </w:r>
    </w:p>
    <w:p>
      <w:pPr>
        <w:spacing w:after="140"/>
      </w:pPr>
      <w:r>
        <w:rPr>
          <w:sz w:val="22"/>
          <w:szCs w:val="22"/>
        </w:rPr>
        <w:t xml:space="preserve">Penguasaan kesehatan perempuan lintas-siklus-hidup melengkapi B4 dan menjadi jembatan menuju B6 serta B8 untuk kasus kekerasan berbasis gender yang memerlukan jejaring rujukan lintas-sektor.</w:t>
      </w:r>
    </w:p>
    <w:p>
      <w:pPr>
        <w:spacing w:after="200"/>
      </w:pPr>
      <w:r>
        <w:rPr>
          <w:sz w:val="22"/>
          <w:szCs w:val="22"/>
        </w:rPr>
        <w:t xml:space="preserve">Buku ini disusun merujuk pada standar nasional (Tabel 10 Kepkonsil No. HK.01.02/KKI/1318/2026, komponen kompetensi ke-4) dan standar internasional dari WONCA Working Party on Women and Family Medicine (WWPWFM) (https://www.globalfamilydoctor.com/groups/WorkingParties/WomenandFamilyMedicine.aspx).</w:t>
      </w:r>
    </w:p>
    <w:p>
      <w:pPr>
        <w:spacing w:after="100" w:before="100"/>
      </w:pPr>
      <w:r>
        <w:rPr>
          <w:b/>
          <w:bCs/>
          <w:color w:val="1c2749"/>
          <w:sz w:val="24"/>
          <w:szCs w:val="24"/>
        </w:rPr>
        <w:t xml:space="preserve">Glosarium</w:t>
      </w:r>
    </w:p>
    <w:p>
      <w:pPr>
        <w:spacing w:after="20"/>
      </w:pPr>
      <w:r>
        <w:rPr>
          <w:b/>
          <w:bCs/>
          <w:sz w:val="21"/>
          <w:szCs w:val="21"/>
        </w:rPr>
        <w:t xml:space="preserve">Perimenopause</w:t>
      </w:r>
    </w:p>
    <w:p>
      <w:pPr>
        <w:spacing w:after="100"/>
      </w:pPr>
      <w:r>
        <w:rPr>
          <w:color w:val="374151"/>
          <w:sz w:val="20"/>
          <w:szCs w:val="20"/>
        </w:rPr>
        <w:t xml:space="preserve">Periode transisi hormonal menjelang menopause, ditandai fluktuasi siklus haid dan gejala vasomotor, umumnya berlangsung 4-8 tahun.</w:t>
      </w:r>
    </w:p>
    <w:p>
      <w:pPr>
        <w:spacing w:after="20"/>
      </w:pPr>
      <w:r>
        <w:rPr>
          <w:b/>
          <w:bCs/>
          <w:sz w:val="21"/>
          <w:szCs w:val="21"/>
        </w:rPr>
        <w:t xml:space="preserve">Terapi hormon menopause</w:t>
      </w:r>
    </w:p>
    <w:p>
      <w:pPr>
        <w:spacing w:after="100"/>
      </w:pPr>
      <w:r>
        <w:rPr>
          <w:color w:val="374151"/>
          <w:sz w:val="20"/>
          <w:szCs w:val="20"/>
        </w:rPr>
        <w:t xml:space="preserve">Pemberian estrogen, dengan atau tanpa progestogen, untuk mengatasi gejala menopause, dipertimbangkan berdasarkan manfaat-risiko individual.</w:t>
      </w:r>
    </w:p>
    <w:p>
      <w:pPr>
        <w:spacing w:after="20"/>
      </w:pPr>
      <w:r>
        <w:rPr>
          <w:b/>
          <w:bCs/>
          <w:sz w:val="21"/>
          <w:szCs w:val="21"/>
        </w:rPr>
        <w:t xml:space="preserve">Mastalgia siklik</w:t>
      </w:r>
    </w:p>
    <w:p>
      <w:pPr>
        <w:spacing w:after="100"/>
      </w:pPr>
      <w:r>
        <w:rPr>
          <w:color w:val="374151"/>
          <w:sz w:val="20"/>
          <w:szCs w:val="20"/>
        </w:rPr>
        <w:t xml:space="preserve">Nyeri payudara yang berkaitan dengan siklus haid, umumnya bersifat jinak.</w:t>
      </w:r>
    </w:p>
    <w:p>
      <w:pPr>
        <w:spacing w:after="100" w:before="100"/>
      </w:pPr>
      <w:r>
        <w:rPr>
          <w:b/>
          <w:bCs/>
          <w:color w:val="1c2749"/>
          <w:sz w:val="24"/>
          <w:szCs w:val="24"/>
        </w:rPr>
        <w:t xml:space="preserve">Daftar Pustaka</w:t>
      </w:r>
    </w:p>
    <w:p>
      <w:pPr>
        <w:spacing w:after="80"/>
      </w:pPr>
      <w:r>
        <w:rPr>
          <w:sz w:val="20"/>
          <w:szCs w:val="20"/>
        </w:rPr>
        <w:t xml:space="preserve">1. WONCA Working Party on Women and Family Medicine. https://www.globalfamilydoctor.com/groups/WorkingParties/WomenandFamilyMedicine.aspx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2026-08-27T03:32:34.324Z</dcterms:created>
  <dcterms:modified xsi:type="dcterms:W3CDTF">2026-08-27T03:32:34.335Z</dcterms:modified>
</cp:coreProperties>
</file>

<file path=docProps/custom.xml><?xml version="1.0" encoding="utf-8"?>
<Properties xmlns="http://schemas.openxmlformats.org/officeDocument/2006/custom-properties" xmlns:vt="http://schemas.openxmlformats.org/officeDocument/2006/docPropsVTypes"/>
</file>