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jc w:val="center"/>
      </w:pPr>
      <w:r>
        <w:t xml:space="preserve">PERPUSTAKAAN DIGITAL ABBA</w:t>
      </w:r>
    </w:p>
    <w:p>
      <w:pPr>
        <w:jc w:val="center"/>
      </w:pPr>
      <w:r>
        <w:t xml:space="preserve">Jl. Kerinci Raya No. 9, Malang 65138</w:t>
      </w:r>
    </w:p>
    <w:p>
      <w:pPr>
        <w:spacing w:after="200"/>
      </w:pPr>
    </w:p>
    <w:p>
      <w:pPr>
        <w:jc w:val="center"/>
      </w:pPr>
      <w:r>
        <w:rPr>
          <w:sz w:val="20"/>
          <w:szCs w:val="20"/>
        </w:rPr>
        <w:t xml:space="preserve">Buku Tematik 11 dari Klaster Digital — Ekosistem Buku Pendidikan Dokter Spesialis Kedokteran Keluarga Layanan Primer (SpKKLP)</w:t>
      </w:r>
    </w:p>
    <w:p>
      <w:pPr>
        <w:spacing w:after="200"/>
      </w:pPr>
    </w:p>
    <w:p>
      <w:pPr>
        <w:jc w:val="center"/>
      </w:pPr>
      <w:r>
        <w:rPr>
          <w:b/>
          <w:bCs/>
          <w:sz w:val="36"/>
          <w:szCs w:val="36"/>
        </w:rPr>
        <w:t xml:space="preserve">Manajemen Praktik, POAC, dan Kepemimpinan Layanan Primer</w:t>
      </w:r>
    </w:p>
    <w:p>
      <w:pPr>
        <w:spacing w:after="400"/>
      </w:pPr>
    </w:p>
    <w:p>
      <w:pPr>
        <w:jc w:val="center"/>
      </w:pPr>
      <w:r>
        <w:t xml:space="preserve">Disusun oleh</w:t>
      </w:r>
    </w:p>
    <w:p>
      <w:pPr>
        <w:jc w:val="center"/>
      </w:pPr>
      <w:r>
        <w:rPr>
          <w:b/>
          <w:bCs/>
        </w:rPr>
        <w:t xml:space="preserve">Dr.dr. H. Budi Siswanto, Sp.OG, Subsp.Obginsos., SH., S.Kom.</w:t>
      </w:r>
    </w:p>
    <w:p>
      <w:pPr>
        <w:jc w:val="center"/>
      </w:pPr>
      <w:r>
        <w:t xml:space="preserve">2026</w:t>
      </w:r>
    </w:p>
    <w:p>
      <w:pPr>
        <w:pageBreakBefore/>
      </w:pPr>
    </w:p>
    <w:p>
      <w:pPr>
        <w:pStyle w:val="Heading1"/>
        <w:spacing w:after="150" w:before="300"/>
      </w:pPr>
      <w:r>
        <w:t xml:space="preserve">BAB I — DOKTER SEBAGAI MANAGER DAN COMMUNITY LEADER</w:t>
      </w:r>
    </w:p>
    <w:p>
      <w:pPr>
        <w:spacing w:after="160" w:before="40"/>
        <w:jc w:val="both"/>
      </w:pPr>
      <w:r>
        <w:rPr>
          <w:i/>
          <w:iCs/>
          <w:color w:val="2C3A64"/>
          <w:sz w:val="24"/>
          <w:szCs w:val="24"/>
        </w:rPr>
        <w:t xml:space="preserve">Dokter terbaik sekalipun tidak akan mampu menolong banyak pasien bila sistem di sekelilingnya berantakan — jadwal kacau, obat sering habis, tim tidak kompak. Buku penutup ini membahas peran yang jarang diajarkan namun sama pentingnya: memimpin sistem itu sendiri.</w:t>
      </w:r>
    </w:p>
    <w:p>
      <w:pPr>
        <w:spacing w:after="160"/>
        <w:jc w:val="both"/>
      </w:pPr>
      <w:r>
        <w:t xml:space="preserve">Buku penutup Klaster Digital ini mewujudkan dua peran terakhir dari kerangka WHO Five-Star Doctor yang diperkenalkan pada Buku Utama (U0): Manager dan Community Leader. Dokter spesialis kedokteran keluarga layanan primer, terlepas dari tempat praktiknya, pada akhirnya juga bertanggung jawab atas keberlangsungan dan mutu sistem pelayanan yang menaunginya.</w:t>
      </w:r>
    </w:p>
    <w:p>
      <w:pPr>
        <w:pStyle w:val="Heading1"/>
        <w:spacing w:after="150" w:before="300"/>
      </w:pPr>
      <w:r>
        <w:t xml:space="preserve">BAB II — KERANGKA POAC DALAM MANAJEMEN PRAKTIK</w:t>
      </w:r>
    </w:p>
    <w:p>
      <w:pPr>
        <w:spacing w:after="160" w:before="40"/>
        <w:jc w:val="both"/>
      </w:pPr>
      <w:r>
        <w:rPr>
          <w:i/>
          <w:iCs/>
          <w:color w:val="2C3A64"/>
          <w:sz w:val="24"/>
          <w:szCs w:val="24"/>
        </w:rPr>
        <w:t xml:space="preserve">Empat kata sederhana — rencanakan, susun, jalankan, kendalikan — ternyata cukup untuk membedakan klinik yang berjalan rapi dari yang selalu terasa kacau.</w:t>
      </w:r>
    </w:p>
    <w:p>
      <w:pPr>
        <w:spacing w:after="160"/>
        <w:jc w:val="both"/>
      </w:pPr>
      <w:r>
        <w:t xml:space="preserve">POAC (Planning, Organizing, Actuating, Controlling) adalah kerangka manajemen klasik yang relevan diterapkan pada skala praktik layanan primer, mulai dari klinik kecil hingga Puskesmas.</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4500"/>
        <w:gridCol w:w="4500"/>
      </w:tblGrid>
      <w:tr>
        <w:tc>
          <w:tcPr>
            <w:tcW w:type="dxa" w:w="4500"/>
            <w:shd w:fill="2C3A64" w:val="clear"/>
          </w:tcPr>
          <w:p>
            <w:r>
              <w:rPr>
                <w:b/>
                <w:bCs/>
                <w:color w:val="FFFFFF"/>
              </w:rPr>
              <w:t xml:space="preserve">Fungsi POAC</w:t>
            </w:r>
          </w:p>
        </w:tc>
        <w:tc>
          <w:tcPr>
            <w:tcW w:type="dxa" w:w="4500"/>
            <w:shd w:fill="2C3A64" w:val="clear"/>
          </w:tcPr>
          <w:p>
            <w:r>
              <w:rPr>
                <w:b/>
                <w:bCs/>
                <w:color w:val="FFFFFF"/>
              </w:rPr>
              <w:t xml:space="preserve">Penerapan pada Praktik Layanan Primer</w:t>
            </w:r>
          </w:p>
        </w:tc>
      </w:tr>
      <w:tr>
        <w:tc>
          <w:tcPr>
            <w:tcW w:type="dxa" w:w="4500"/>
          </w:tcPr>
          <w:p>
            <w:r>
              <w:t xml:space="preserve">Planning (Perencanaan)</w:t>
            </w:r>
          </w:p>
        </w:tc>
        <w:tc>
          <w:tcPr>
            <w:tcW w:type="dxa" w:w="4500"/>
          </w:tcPr>
          <w:p>
            <w:r>
              <w:t xml:space="preserve">Penetapan target layanan, kebutuhan sumber daya, dan rencana kerja tahunan berbasis diagnosis komunitas (Buku Tematik 8)</w:t>
            </w:r>
          </w:p>
        </w:tc>
      </w:tr>
      <w:tr>
        <w:tc>
          <w:tcPr>
            <w:tcW w:type="dxa" w:w="4500"/>
          </w:tcPr>
          <w:p>
            <w:r>
              <w:t xml:space="preserve">Organizing (Pengorganisasian)</w:t>
            </w:r>
          </w:p>
        </w:tc>
        <w:tc>
          <w:tcPr>
            <w:tcW w:type="dxa" w:w="4500"/>
          </w:tcPr>
          <w:p>
            <w:r>
              <w:t xml:space="preserve">Pembagian peran tim, alur kerja klinis, dan struktur koordinasi antarunit layanan</w:t>
            </w:r>
          </w:p>
        </w:tc>
      </w:tr>
      <w:tr>
        <w:tc>
          <w:tcPr>
            <w:tcW w:type="dxa" w:w="4500"/>
          </w:tcPr>
          <w:p>
            <w:r>
              <w:t xml:space="preserve">Actuating (Pelaksanaan/Penggerakan)</w:t>
            </w:r>
          </w:p>
        </w:tc>
        <w:tc>
          <w:tcPr>
            <w:tcW w:type="dxa" w:w="4500"/>
          </w:tcPr>
          <w:p>
            <w:r>
              <w:t xml:space="preserve">Memotivasi dan mengarahkan tim menjalankan rencana kerja secara konsisten</w:t>
            </w:r>
          </w:p>
        </w:tc>
      </w:tr>
      <w:tr>
        <w:tc>
          <w:tcPr>
            <w:tcW w:type="dxa" w:w="4500"/>
          </w:tcPr>
          <w:p>
            <w:r>
              <w:t xml:space="preserve">Controlling (Pengendalian)</w:t>
            </w:r>
          </w:p>
        </w:tc>
        <w:tc>
          <w:tcPr>
            <w:tcW w:type="dxa" w:w="4500"/>
          </w:tcPr>
          <w:p>
            <w:r>
              <w:t xml:space="preserve">Pemantauan capaian, audit mutu, dan tindak lanjut perbaikan berkelanjutan</w:t>
            </w:r>
          </w:p>
        </w:tc>
      </w:tr>
    </w:tbl>
    <w:p>
      <w:pPr>
        <w:spacing w:after="160"/>
      </w:pPr>
    </w:p>
    <w:p>
      <w:pPr>
        <w:pStyle w:val="Heading1"/>
        <w:spacing w:after="150" w:before="300"/>
      </w:pPr>
      <w:r>
        <w:t xml:space="preserve">BAB III — KEPEMIMPINAN TIM INTERPROFESIONAL</w:t>
      </w:r>
    </w:p>
    <w:p>
      <w:pPr>
        <w:spacing w:after="160" w:before="40"/>
        <w:jc w:val="both"/>
      </w:pPr>
      <w:r>
        <w:rPr>
          <w:i/>
          <w:iCs/>
          <w:color w:val="2C3A64"/>
          <w:sz w:val="24"/>
          <w:szCs w:val="24"/>
        </w:rPr>
        <w:t xml:space="preserve">Layanan primer tidak pernah dijalankan oleh satu orang saja — kegagalan berkomunikasi antaranggota tim bisa berakibat sama seriusnya dengan kesalahan diagnosis.</w:t>
      </w:r>
    </w:p>
    <w:p>
      <w:pPr>
        <w:pStyle w:val="Heading2"/>
        <w:spacing w:after="120" w:before="250"/>
      </w:pPr>
      <w:r>
        <w:t xml:space="preserve">A. Membangun Kerja Sama Antarprofesi</w:t>
      </w:r>
    </w:p>
    <w:p>
      <w:pPr>
        <w:spacing w:after="160"/>
        <w:jc w:val="both"/>
      </w:pPr>
      <w:r>
        <w:t xml:space="preserve">Layanan primer bekerja dalam tim interprofesional — dokter, bidan, perawat, tenaga kesehatan masyarakat, tenaga administrasi. Kepemimpinan yang efektif menekankan komunikasi jelas, penghormatan terhadap peran masing-masing profesi, serta budaya keselamatan yang memungkinkan anggota tim menyampaikan kekhawatiran tanpa rasa takut.</w:t>
      </w:r>
    </w:p>
    <w:p>
      <w:pPr>
        <w:pStyle w:val="ListParagraph"/>
        <w:numPr>
          <w:ilvl w:val="0"/>
          <w:numId w:val="1"/>
        </w:numPr>
        <w:spacing w:after="90"/>
      </w:pPr>
      <w:r>
        <w:t xml:space="preserve">Pembagian peran dan tanggung jawab yang jelas namun fleksibel sesuai kondisi lapangan.</w:t>
      </w:r>
    </w:p>
    <w:p>
      <w:pPr>
        <w:pStyle w:val="ListParagraph"/>
        <w:numPr>
          <w:ilvl w:val="0"/>
          <w:numId w:val="1"/>
        </w:numPr>
        <w:spacing w:after="90"/>
      </w:pPr>
      <w:r>
        <w:t xml:space="preserve">Komunikasi terstruktur dalam serah terima (handover) pasien antarpetugas untuk mencegah kehilangan informasi klinis penting.</w:t>
      </w:r>
    </w:p>
    <w:p>
      <w:pPr>
        <w:pStyle w:val="Heading2"/>
        <w:spacing w:after="120" w:before="250"/>
      </w:pPr>
      <w:r>
        <w:t xml:space="preserve">B. Budaya Keselamatan tanpa Menyalahkan</w:t>
      </w:r>
    </w:p>
    <w:p>
      <w:pPr>
        <w:spacing w:after="160"/>
        <w:jc w:val="both"/>
      </w:pPr>
      <w:r>
        <w:t xml:space="preserve">Budaya keselamatan yang mendorong pelaporan insiden/near-miss tanpa budaya menyalahkan (blame culture) menjadi fondasi perbaikan sistem berkelanjutan, sejalan dengan prinsip audit klinis pada Buku Tematik 10.</w:t>
      </w:r>
    </w:p>
    <w:p>
      <w:pPr>
        <w:pBdr>
          <w:left w:val="single" w:color="2C3A64" w:sz="24"/>
        </w:pBdr>
        <w:shd w:fill="EEF1F8" w:val="clear"/>
        <w:spacing w:after="200" w:before="100"/>
        <w:ind w:left="200"/>
      </w:pPr>
      <w:r>
        <w:rPr>
          <w:b/>
          <w:bCs/>
          <w:color w:val="2C3A64"/>
        </w:rPr>
        <w:t xml:space="preserve">🩺 Ilustrasi Kasus — </w:t>
      </w:r>
      <w:r>
        <w:t xml:space="preserve">Seorang perawat menyadari hampir memberikan obat pada pasien yang salah karena dua rekam medis tertukar urutan di meja periksa. Alih-alih menyembunyikan kejadian ini karena takut disalahkan, budaya keselamatan yang dibangun kepala klinik membuatnya berani melaporkan near-miss tersebut secara terbuka — yang kemudian mendorong perubahan sistem penataan berkas agar kejadian serupa tidak terulang pada pasien lain.</w:t>
      </w:r>
    </w:p>
    <w:p>
      <w:pPr>
        <w:pStyle w:val="Heading1"/>
        <w:spacing w:after="150" w:before="300"/>
      </w:pPr>
      <w:r>
        <w:t xml:space="preserve">BAB IV — MANAJEMEN MUTU LAYANAN PRIMER</w:t>
      </w:r>
    </w:p>
    <w:p>
      <w:pPr>
        <w:spacing w:after="160" w:before="40"/>
        <w:jc w:val="both"/>
      </w:pPr>
      <w:r>
        <w:rPr>
          <w:i/>
          <w:iCs/>
          <w:color w:val="2C3A64"/>
          <w:sz w:val="24"/>
          <w:szCs w:val="24"/>
        </w:rPr>
        <w:t xml:space="preserve">Mutu bukan sesuatu yang terjadi sekali lalu selesai — ia adalah siklus yang terus berputar tanpa henti.</w:t>
      </w:r>
    </w:p>
    <w:p>
      <w:pPr>
        <w:spacing w:after="160"/>
        <w:jc w:val="both"/>
      </w:pPr>
      <w:r>
        <w:t xml:space="preserve">Manajemen mutu di layanan primer mencakup penetapan standar pelayanan, pemantauan indikator mutu klinis dan non-klinis, serta siklus perbaikan berkelanjutan (plan-do-study-act) yang melibatkan seluruh tim, bukan hanya tanggung jawab individu dokter.</w:t>
      </w:r>
    </w:p>
    <w:p>
      <w:pPr>
        <w:pStyle w:val="Heading1"/>
        <w:spacing w:after="150" w:before="300"/>
      </w:pPr>
      <w:r>
        <w:t xml:space="preserve">BAB V — MANAJEMEN SUMBER DAYA DAN PEMBIAYAAN LAYANAN PRIMER</w:t>
      </w:r>
    </w:p>
    <w:p>
      <w:pPr>
        <w:spacing w:after="160" w:before="40"/>
        <w:jc w:val="both"/>
      </w:pPr>
      <w:r>
        <w:rPr>
          <w:i/>
          <w:iCs/>
          <w:color w:val="2C3A64"/>
          <w:sz w:val="24"/>
          <w:szCs w:val="24"/>
        </w:rPr>
        <w:t xml:space="preserve">Niat baik saja tidak cukup menjaga sebuah klinik tetap buka — ia juga harus bertahan secara finansial.</w:t>
      </w:r>
    </w:p>
    <w:p>
      <w:pPr>
        <w:spacing w:after="160"/>
        <w:jc w:val="both"/>
      </w:pPr>
      <w:r>
        <w:t xml:space="preserve">Pemahaman dasar manajemen sumber daya — tenaga, obat dan alat kesehatan, serta pembiayaan (termasuk skema Jaminan Kesehatan Nasional/JKN-BPJS Kesehatan sebagai kerangka pembiayaan dominan layanan primer di Indonesia) menjadi kompetensi penting agar praktik layanan primer dapat berkelanjutan secara finansial tanpa mengorbankan mutu pelayanan.</w:t>
      </w:r>
    </w:p>
    <w:p>
      <w:pPr>
        <w:pBdr>
          <w:left w:val="single" w:color="A9812F" w:sz="24"/>
        </w:pBdr>
        <w:shd w:fill="FBEFD9" w:val="clear"/>
        <w:spacing w:after="200" w:before="100"/>
        <w:ind w:left="200"/>
      </w:pPr>
      <w:r>
        <w:rPr>
          <w:b/>
          <w:bCs/>
          <w:color w:val="8A6410"/>
        </w:rPr>
        <w:t xml:space="preserve">⚠ TINJAU TENAGA KESEHATAN — </w:t>
      </w:r>
      <w:r>
        <w:rPr>
          <w:i/>
          <w:iCs/>
        </w:rPr>
        <w:t xml:space="preserve">ketentuan teknis pembiayaan JKN/BPJS Kesehatan bersifat dinamis dan tidak dirinci pada bab ini; pembaca disarankan menelusuri regulasi dan panduan teknis BPJS Kesehatan terkini.</w:t>
      </w:r>
    </w:p>
    <w:p>
      <w:pPr>
        <w:pStyle w:val="Heading1"/>
        <w:spacing w:after="150" w:before="300"/>
      </w:pPr>
      <w:r>
        <w:t xml:space="preserve">BAB VI — KEWIRAUSAHAAN DAN KEBERLANJUTAN PRAKTIK MANDIRI</w:t>
      </w:r>
    </w:p>
    <w:p>
      <w:pPr>
        <w:spacing w:after="160" w:before="40"/>
        <w:jc w:val="both"/>
      </w:pPr>
      <w:r>
        <w:rPr>
          <w:i/>
          <w:iCs/>
          <w:color w:val="2C3A64"/>
          <w:sz w:val="24"/>
          <w:szCs w:val="24"/>
        </w:rPr>
        <w:t xml:space="preserve">Menjadi dokter yang baik dan menjadi pengelola praktik yang baik ternyata menuntut dua set keterampilan yang berbeda — dan keduanya sama-sama perlu dipelajari.</w:t>
      </w:r>
    </w:p>
    <w:p>
      <w:pPr>
        <w:spacing w:after="160"/>
        <w:jc w:val="both"/>
      </w:pPr>
      <w:r>
        <w:t xml:space="preserve">Bagi dokter yang mengelola praktik mandiri atau klinik pratama, keterampilan kewirausahaan dasar — perencanaan bisnis sederhana, pengelolaan arus kas, dan strategi keberlanjutan layanan — menjadi pelengkap kompetensi klinis, tanpa mengorbankan prinsip etika profesi dan orientasi pada kepentingan terbaik pasien (Dokumen P3).</w:t>
      </w:r>
    </w:p>
    <w:p>
      <w:pPr>
        <w:pStyle w:val="Heading1"/>
        <w:spacing w:after="150" w:before="300"/>
      </w:pPr>
      <w:r>
        <w:t xml:space="preserve">BAB VII — PERAN COMMUNITY LEADER DALAM ADVOKASI KESEHATAN</w:t>
      </w:r>
    </w:p>
    <w:p>
      <w:pPr>
        <w:spacing w:after="160" w:before="40"/>
        <w:jc w:val="both"/>
      </w:pPr>
      <w:r>
        <w:rPr>
          <w:i/>
          <w:iCs/>
          <w:color w:val="2C3A64"/>
          <w:sz w:val="24"/>
          <w:szCs w:val="24"/>
        </w:rPr>
        <w:t xml:space="preserve">Kadang perubahan terbesar bagi kesehatan satu wilayah tidak terjadi di ruang periksa, melainkan di ruang rapat pemerintah desa.</w:t>
      </w:r>
    </w:p>
    <w:p>
      <w:pPr>
        <w:spacing w:after="160"/>
        <w:jc w:val="both"/>
      </w:pPr>
      <w:r>
        <w:t xml:space="preserve">Peran Community Leader melampaui manajemen praktik internal, mencakup advokasi kebijakan kesehatan di tingkat wilayah kerja — menyuarakan kebutuhan kesehatan masyarakat kepada pemangku kepentingan, dan menjadi rujukan tepercaya bagi pemerintah wilayah dalam perencanaan kesehatan setempat, melengkapi peran yang dibahas pada Buku Tematik 8.</w:t>
      </w:r>
    </w:p>
    <w:p>
      <w:pPr>
        <w:pStyle w:val="Heading1"/>
        <w:spacing w:after="150" w:before="300"/>
      </w:pPr>
      <w:r>
        <w:t xml:space="preserve">BAB VIII — MANAJEMEN PERUBAHAN DAN KEPEMIMPINAN DALAM KRISIS</w:t>
      </w:r>
    </w:p>
    <w:p>
      <w:pPr>
        <w:spacing w:after="160" w:before="40"/>
        <w:jc w:val="both"/>
      </w:pPr>
      <w:r>
        <w:rPr>
          <w:i/>
          <w:iCs/>
          <w:color w:val="2C3A64"/>
          <w:sz w:val="24"/>
          <w:szCs w:val="24"/>
        </w:rPr>
        <w:t xml:space="preserve">Ketika wabah datang, tim yang sudah terbiasa dipimpin dengan baik di masa tenang akan jauh lebih siap dibanding tim yang baru pertama kali diuji saat krisis.</w:t>
      </w:r>
    </w:p>
    <w:p>
      <w:pPr>
        <w:spacing w:after="160"/>
        <w:jc w:val="both"/>
      </w:pPr>
      <w:r>
        <w:t xml:space="preserve">Kepemimpinan layanan primer juga diuji dalam situasi krisis kesehatan masyarakat yang menuntut kemampuan mengelola perubahan cepat, menjaga moral tim di bawah tekanan, dan berkomunikasi secara jelas dengan masyarakat di tengah ketidakpastian.</w:t>
      </w:r>
    </w:p>
    <w:p>
      <w:pPr>
        <w:pStyle w:val="Heading1"/>
        <w:spacing w:after="150" w:before="300"/>
      </w:pPr>
      <w:r>
        <w:t xml:space="preserve">BAB VIII-A — PENJENJANGAN CAPAIAN PEMBELAJARAN TAHUN I–IV: MANAJEMEN PRAKTIK DAN KEPEMIMPINAN LAYANAN PRIMER</w:t>
      </w:r>
    </w:p>
    <w:p>
      <w:pPr>
        <w:spacing w:after="160" w:before="40"/>
        <w:jc w:val="both"/>
      </w:pPr>
      <w:r>
        <w:rPr>
          <w:i/>
          <w:iCs/>
          <w:color w:val="2C3A64"/>
          <w:sz w:val="24"/>
          <w:szCs w:val="24"/>
        </w:rPr>
        <w:t xml:space="preserve">Menjadi Manager dan Community Leader bukan peran yang otomatis melekat pada gelar spesialis — ia dilatih bertahap, sebagaimana keterampilan klinis lainnya.</w:t>
      </w:r>
    </w:p>
    <w:p>
      <w:pPr>
        <w:spacing w:after="160"/>
        <w:jc w:val="both"/>
      </w:pPr>
      <w:r>
        <w:t xml:space="preserve">Penjenjangan berikut merupakan usulan kerangka penahapan berbasis pola umum pendidikan spesialis empat tahun dan notasi penjenjangan capaian pembelajaran Perkonsil 65/2019 (mis. tingkat kemampuan 1–4A), diselaraskan dengan topik buku ini. Kedalaman dan urutan aktual tetap mengikuti kurikulum operasional program studi serta hasil evaluasi individual peserta didik — tabel ini bukan pengganti matriks kewenangan klinis resmi (lihat Dokumen P4).</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250"/>
        <w:gridCol w:w="2250"/>
        <w:gridCol w:w="2250"/>
        <w:gridCol w:w="2250"/>
      </w:tblGrid>
      <w:tr>
        <w:tc>
          <w:tcPr>
            <w:tcW w:type="dxa" w:w="2250"/>
            <w:shd w:fill="2C3A64" w:val="clear"/>
          </w:tcPr>
          <w:p>
            <w:r>
              <w:rPr>
                <w:b/>
                <w:bCs/>
                <w:color w:val="FFFFFF"/>
              </w:rPr>
              <w:t xml:space="preserve">Tahun Pendidikan</w:t>
            </w:r>
          </w:p>
        </w:tc>
        <w:tc>
          <w:tcPr>
            <w:tcW w:type="dxa" w:w="2250"/>
            <w:shd w:fill="2C3A64" w:val="clear"/>
          </w:tcPr>
          <w:p>
            <w:r>
              <w:rPr>
                <w:b/>
                <w:bCs/>
                <w:color w:val="FFFFFF"/>
              </w:rPr>
              <w:t xml:space="preserve">Fokus Belajar Utama</w:t>
            </w:r>
          </w:p>
        </w:tc>
        <w:tc>
          <w:tcPr>
            <w:tcW w:type="dxa" w:w="2250"/>
            <w:shd w:fill="2C3A64" w:val="clear"/>
          </w:tcPr>
          <w:p>
            <w:r>
              <w:rPr>
                <w:b/>
                <w:bCs/>
                <w:color w:val="FFFFFF"/>
              </w:rPr>
              <w:t xml:space="preserve">Tingkat Kemandirian Klinis</w:t>
            </w:r>
          </w:p>
        </w:tc>
        <w:tc>
          <w:tcPr>
            <w:tcW w:type="dxa" w:w="2250"/>
            <w:shd w:fill="2C3A64" w:val="clear"/>
          </w:tcPr>
          <w:p>
            <w:r>
              <w:rPr>
                <w:b/>
                <w:bCs/>
                <w:color w:val="FFFFFF"/>
              </w:rPr>
              <w:t xml:space="preserve">Capaian yang Diharapkan</w:t>
            </w:r>
          </w:p>
        </w:tc>
      </w:tr>
      <w:tr>
        <w:tc>
          <w:tcPr>
            <w:tcW w:type="dxa" w:w="2250"/>
          </w:tcPr>
          <w:p>
            <w:r>
              <w:t xml:space="preserve">Tahun I</w:t>
            </w:r>
          </w:p>
        </w:tc>
        <w:tc>
          <w:tcPr>
            <w:tcW w:type="dxa" w:w="2250"/>
          </w:tcPr>
          <w:p>
            <w:r>
              <w:t xml:space="preserve">Mengenali struktur organisasi wahana layanan primer dan prinsip dasar POAC.</w:t>
            </w:r>
          </w:p>
        </w:tc>
        <w:tc>
          <w:tcPr>
            <w:tcW w:type="dxa" w:w="2250"/>
          </w:tcPr>
          <w:p>
            <w:r>
              <w:t xml:space="preserve">Observasi dan dibimbing langsung.</w:t>
            </w:r>
          </w:p>
        </w:tc>
        <w:tc>
          <w:tcPr>
            <w:tcW w:type="dxa" w:w="2250"/>
          </w:tcPr>
          <w:p>
            <w:r>
              <w:t xml:space="preserve">Mampu menjelaskan struktur organisasi dan alur kerja wahana layanan primer.</w:t>
            </w:r>
          </w:p>
        </w:tc>
      </w:tr>
      <w:tr>
        <w:tc>
          <w:tcPr>
            <w:tcW w:type="dxa" w:w="2250"/>
          </w:tcPr>
          <w:p>
            <w:r>
              <w:t xml:space="preserve">Tahun II</w:t>
            </w:r>
          </w:p>
        </w:tc>
        <w:tc>
          <w:tcPr>
            <w:tcW w:type="dxa" w:w="2250"/>
          </w:tcPr>
          <w:p>
            <w:r>
              <w:t xml:space="preserve">Berpartisipasi dalam kerja tim interprofesional dan siklus mutu sederhana.</w:t>
            </w:r>
          </w:p>
        </w:tc>
        <w:tc>
          <w:tcPr>
            <w:tcW w:type="dxa" w:w="2250"/>
          </w:tcPr>
          <w:p>
            <w:r>
              <w:t xml:space="preserve">Dibimbing tidak langsung.</w:t>
            </w:r>
          </w:p>
        </w:tc>
        <w:tc>
          <w:tcPr>
            <w:tcW w:type="dxa" w:w="2250"/>
          </w:tcPr>
          <w:p>
            <w:r>
              <w:t xml:space="preserve">Mampu berkontribusi aktif dalam siklus mutu (plan-do-check-act) sederhana.</w:t>
            </w:r>
          </w:p>
        </w:tc>
      </w:tr>
      <w:tr>
        <w:tc>
          <w:tcPr>
            <w:tcW w:type="dxa" w:w="2250"/>
          </w:tcPr>
          <w:p>
            <w:r>
              <w:t xml:space="preserve">Tahun III</w:t>
            </w:r>
          </w:p>
        </w:tc>
        <w:tc>
          <w:tcPr>
            <w:tcW w:type="dxa" w:w="2250"/>
          </w:tcPr>
          <w:p>
            <w:r>
              <w:t xml:space="preserve">Memimpin proyek mutu atau program kecil di wahana layanan primer.</w:t>
            </w:r>
          </w:p>
        </w:tc>
        <w:tc>
          <w:tcPr>
            <w:tcW w:type="dxa" w:w="2250"/>
          </w:tcPr>
          <w:p>
            <w:r>
              <w:t xml:space="preserve">Mandiri dengan supervisi berkala.</w:t>
            </w:r>
          </w:p>
        </w:tc>
        <w:tc>
          <w:tcPr>
            <w:tcW w:type="dxa" w:w="2250"/>
          </w:tcPr>
          <w:p>
            <w:r>
              <w:t xml:space="preserve">Mampu memimpin satu proyek/program layanan primer dari perencanaan hingga evaluasi.</w:t>
            </w:r>
          </w:p>
        </w:tc>
      </w:tr>
      <w:tr>
        <w:tc>
          <w:tcPr>
            <w:tcW w:type="dxa" w:w="2250"/>
          </w:tcPr>
          <w:p>
            <w:r>
              <w:t xml:space="preserve">Tahun IV</w:t>
            </w:r>
          </w:p>
        </w:tc>
        <w:tc>
          <w:tcPr>
            <w:tcW w:type="dxa" w:w="2250"/>
          </w:tcPr>
          <w:p>
            <w:r>
              <w:t xml:space="preserve">Merancang strategi manajemen praktik dan advokasi kesehatan tingkat wilayah kerja.</w:t>
            </w:r>
          </w:p>
        </w:tc>
        <w:tc>
          <w:tcPr>
            <w:tcW w:type="dxa" w:w="2250"/>
          </w:tcPr>
          <w:p>
            <w:r>
              <w:t xml:space="preserve">Mandiri penuh, peran Manager dan Community Leader.</w:t>
            </w:r>
          </w:p>
        </w:tc>
        <w:tc>
          <w:tcPr>
            <w:tcW w:type="dxa" w:w="2250"/>
          </w:tcPr>
          <w:p>
            <w:r>
              <w:t xml:space="preserve">Mampu mengevaluasi keberlanjutan dan mutu manajerial sebuah praktik/program layanan primer.</w:t>
            </w:r>
          </w:p>
        </w:tc>
      </w:tr>
    </w:tbl>
    <w:p>
      <w:pPr>
        <w:spacing w:after="160"/>
      </w:pPr>
    </w:p>
    <w:p>
      <w:pPr>
        <w:pStyle w:val="Heading1"/>
        <w:spacing w:after="150" w:before="300"/>
      </w:pPr>
      <w:r>
        <w:t xml:space="preserve">BAB VIII-B — EVALUASI DIRI DAN PERTANYAAN REFLEKTIF</w:t>
      </w:r>
    </w:p>
    <w:p>
      <w:pPr>
        <w:spacing w:after="160" w:before="40"/>
        <w:jc w:val="both"/>
      </w:pPr>
      <w:r>
        <w:rPr>
          <w:i/>
          <w:iCs/>
          <w:color w:val="2C3A64"/>
          <w:sz w:val="24"/>
          <w:szCs w:val="24"/>
        </w:rPr>
        <w:t xml:space="preserve">Kompetensi yang sesungguhnya sering terlihat bukan dari apa yang bisa dijelaskan di ujian lisan, melainkan dari pertanyaan jujur yang diajukan pada diri sendiri setelah kunjungan pasien selesai.</w:t>
      </w:r>
    </w:p>
    <w:p>
      <w:pPr>
        <w:spacing w:after="160"/>
        <w:jc w:val="both"/>
      </w:pPr>
      <w:r>
        <w:t xml:space="preserve">Pertanyaan reflektif berikut dapat digunakan peserta didik sebagai bahan evaluasi diri berkala (mis. mengisi jurnal reflektif mingguan) maupun bahan diskusi terstruktur dengan dokter pembimbing klinis, melengkapi instrumen penilaian formal pada Dokumen P6.</w:t>
      </w:r>
    </w:p>
    <w:p>
      <w:pPr>
        <w:pStyle w:val="ListParagraph"/>
        <w:numPr>
          <w:ilvl w:val="0"/>
          <w:numId w:val="1"/>
        </w:numPr>
        <w:spacing w:after="90"/>
      </w:pPr>
      <w:r>
        <w:t xml:space="preserve">Apakah saya sudah pernah memimpin satu siklus POAC penuh, dari perencanaan hingga evaluasi?</w:t>
      </w:r>
    </w:p>
    <w:p>
      <w:pPr>
        <w:pStyle w:val="ListParagraph"/>
        <w:numPr>
          <w:ilvl w:val="0"/>
          <w:numId w:val="1"/>
        </w:numPr>
        <w:spacing w:after="90"/>
      </w:pPr>
      <w:r>
        <w:t xml:space="preserve">Bagaimana saya berkontribusi dalam kerja tim interprofesional — apakah sekadar hadir atau benar-benar berkontribusi?</w:t>
      </w:r>
    </w:p>
    <w:p>
      <w:pPr>
        <w:pStyle w:val="ListParagraph"/>
        <w:numPr>
          <w:ilvl w:val="0"/>
          <w:numId w:val="1"/>
        </w:numPr>
        <w:spacing w:after="90"/>
      </w:pPr>
      <w:r>
        <w:t xml:space="preserve">Sudahkah saya mengadvokasi kebutuhan wilayah kerja saya ke pemangku kepentingan yang relevan?</w:t>
      </w:r>
    </w:p>
    <w:p>
      <w:pPr>
        <w:pStyle w:val="ListParagraph"/>
        <w:numPr>
          <w:ilvl w:val="0"/>
          <w:numId w:val="1"/>
        </w:numPr>
        <w:spacing w:after="90"/>
      </w:pPr>
      <w:r>
        <w:t xml:space="preserve">Apakah saya sudah menyiapkan rencana keberlanjutan (bukan hanya rencana peluncuran) untuk program yang saya rintis?</w:t>
      </w:r>
    </w:p>
    <w:p>
      <w:pPr>
        <w:pStyle w:val="Heading1"/>
        <w:spacing w:after="150" w:before="300"/>
      </w:pPr>
      <w:r>
        <w:t xml:space="preserve">BAB IX — PENUTUP: MENYATUKAN KESEBELAS BUKU TEMATIK</w:t>
      </w:r>
    </w:p>
    <w:p>
      <w:pPr>
        <w:spacing w:after="160"/>
        <w:jc w:val="both"/>
      </w:pPr>
      <w:r>
        <w:t xml:space="preserve">Sebagai buku penutup Klaster Digital, buku ini menegaskan bahwa kompetensi klinis (Buku Tematik 1–10) tidak berdiri sendiri tanpa kemampuan manajerial dan kepemimpinan yang memastikan kompetensi tersebut dapat diwujudkan secara berkelanjutan dalam sistem pelayanan nyata — menutup lingkaran lima peran WHO Five-Star Doctor yang dibuka pada Buku Utama (U0): Care Provider, Communicator, Decision Maker, Manager, dan Community Leader.</w:t>
      </w:r>
    </w:p>
    <w:p>
      <w:pPr>
        <w:pStyle w:val="Heading2"/>
        <w:spacing w:after="120" w:before="250"/>
      </w:pPr>
      <w:r>
        <w:t xml:space="preserve">Glosarium</w:t>
      </w:r>
    </w:p>
    <w:p>
      <w:pPr>
        <w:spacing w:after="90"/>
      </w:pPr>
      <w:r>
        <w:rPr>
          <w:b/>
          <w:bCs/>
        </w:rPr>
        <w:t xml:space="preserve">POAC — </w:t>
      </w:r>
      <w:r>
        <w:t xml:space="preserve">Planning, Organizing, Actuating, Controlling — kerangka manajemen klasik yang diterapkan pada skala praktik layanan primer.</w:t>
      </w:r>
    </w:p>
    <w:p>
      <w:pPr>
        <w:spacing w:after="90"/>
      </w:pPr>
      <w:r>
        <w:rPr>
          <w:b/>
          <w:bCs/>
        </w:rPr>
        <w:t xml:space="preserve">Budaya Keselamatan — </w:t>
      </w:r>
      <w:r>
        <w:t xml:space="preserve">Budaya organisasi yang mendorong pelaporan insiden/near-miss tanpa rasa takut disalahkan, demi perbaikan sistem.</w:t>
      </w:r>
    </w:p>
    <w:p>
      <w:pPr>
        <w:spacing w:after="90"/>
      </w:pPr>
      <w:r>
        <w:rPr>
          <w:b/>
          <w:bCs/>
        </w:rPr>
        <w:t xml:space="preserve">Plan-Do-Study-Act — </w:t>
      </w:r>
      <w:r>
        <w:t xml:space="preserve">Siklus perbaikan mutu berkelanjutan yang diterapkan secara iteratif pada layanan kesehatan.</w:t>
      </w:r>
    </w:p>
    <w:p>
      <w:pPr>
        <w:spacing w:after="90"/>
      </w:pPr>
      <w:r>
        <w:rPr>
          <w:b/>
          <w:bCs/>
        </w:rPr>
        <w:t xml:space="preserve">Tim Interprofesional — </w:t>
      </w:r>
      <w:r>
        <w:t xml:space="preserve">Tim layanan kesehatan yang terdiri atas berbagai profesi (dokter, bidan, perawat, tenaga kesehatan masyarakat) yang bekerja secara terkoordinasi.</w:t>
      </w:r>
    </w:p>
    <w:p>
      <w:pPr>
        <w:pStyle w:val="Heading2"/>
        <w:spacing w:after="120" w:before="250"/>
      </w:pPr>
      <w:r>
        <w:t xml:space="preserve">Daftar Pustaka</w:t>
      </w:r>
    </w:p>
    <w:p>
      <w:pPr>
        <w:spacing w:after="90"/>
        <w:ind w:left="360" w:hanging="360"/>
      </w:pPr>
      <w:r>
        <w:t xml:space="preserve">Konsil Kedokteran Indonesia. Peraturan Konsil Kedokteran Indonesia Nomor 65 Tahun 2019.</w:t>
      </w:r>
    </w:p>
    <w:p>
      <w:pPr>
        <w:spacing w:after="90"/>
        <w:ind w:left="360" w:hanging="360"/>
      </w:pPr>
      <w:r>
        <w:t xml:space="preserve">Catatan: kerangka manajemen umum (POAC, PDSA) dan referensi manajemen layanan kesehatan primer dalam buku ini bersifat konseptual umum; pembaca disarankan menelusuri literatur manajemen kesehatan dan regulasi JKN/BPJS Kesehatan terkini sebagai pelengkap.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2026-07-17T19:08:13.011Z</dcterms:created>
  <dcterms:modified xsi:type="dcterms:W3CDTF">2026-07-17T19:08:13.011Z</dcterms:modified>
</cp:coreProperties>
</file>

<file path=docProps/custom.xml><?xml version="1.0" encoding="utf-8"?>
<Properties xmlns="http://schemas.openxmlformats.org/officeDocument/2006/custom-properties" xmlns:vt="http://schemas.openxmlformats.org/officeDocument/2006/docPropsVTypes"/>
</file>