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10 dari Klaster Digital — Ekosistem Buku Pendidikan Dokter Spesialis Kedokteran Keluarga Layanan Primer (SpKKLP)</w:t>
      </w:r>
    </w:p>
    <w:p>
      <w:pPr>
        <w:spacing w:after="200"/>
      </w:pPr>
    </w:p>
    <w:p>
      <w:pPr>
        <w:jc w:val="center"/>
      </w:pPr>
      <w:r>
        <w:rPr>
          <w:b/>
          <w:bCs/>
          <w:sz w:val="36"/>
          <w:szCs w:val="36"/>
        </w:rPr>
        <w:t xml:space="preserve">Pengelolaan Informasi dan Rekam Medis di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PENGELOLAAN INFORMASI SEBAGAI KOMPETENSI INTI</w:t>
      </w:r>
    </w:p>
    <w:p>
      <w:pPr>
        <w:spacing w:after="160" w:before="40"/>
        <w:jc w:val="both"/>
      </w:pPr>
      <w:r>
        <w:rPr>
          <w:i/>
          <w:iCs/>
          <w:color w:val="2C3A64"/>
          <w:sz w:val="24"/>
          <w:szCs w:val="24"/>
        </w:rPr>
        <w:t xml:space="preserve">Diagnosis terbaik pun tak berguna bila catatannya hilang atau tak terbaca oleh dokter berikutnya yang menemui pasien yang sama enam bulan kemudian.</w:t>
      </w:r>
    </w:p>
    <w:p>
      <w:pPr>
        <w:spacing w:after="160"/>
        <w:jc w:val="both"/>
      </w:pPr>
      <w:r>
        <w:t xml:space="preserve">Buku ini memperdalam Area Kompetensi d (pengelolaan informasi) yang telah diperkenalkan pada Buku Tematik 1 melalui format SOAP dan rekam medis berorientasi masalah. Di era digitalisasi layanan kesehatan primer, penguasaan sistem informasi klinis — baik manual maupun elektronik — menjadi kompetensi yang tidak terpisahkan dari mutu dan keselamatan pasien.</w:t>
      </w:r>
    </w:p>
    <w:p>
      <w:pPr>
        <w:pStyle w:val="Heading1"/>
        <w:spacing w:after="150" w:before="300"/>
      </w:pPr>
      <w:r>
        <w:t xml:space="preserve">BAB II — REKAM MEDIS ELEKTRONIK DI LAYANAN PRIMER</w:t>
      </w:r>
    </w:p>
    <w:p>
      <w:pPr>
        <w:spacing w:after="160" w:before="40"/>
        <w:jc w:val="both"/>
      </w:pPr>
      <w:r>
        <w:rPr>
          <w:i/>
          <w:iCs/>
          <w:color w:val="2C3A64"/>
          <w:sz w:val="24"/>
          <w:szCs w:val="24"/>
        </w:rPr>
        <w:t xml:space="preserve">Rekam medis elektronik menjanjikan keterbacaan dan kecepatan — tapi juga membawa jebakan baru yang tidak pernah ada di era kertas: kebiasaan menyalin-tempel tanpa berpikir.</w:t>
      </w:r>
    </w:p>
    <w:p>
      <w:pPr>
        <w:pStyle w:val="Heading2"/>
        <w:spacing w:after="120" w:before="250"/>
      </w:pPr>
      <w:r>
        <w:t xml:space="preserve">A. Manfaat dan Praktik yang Baik</w:t>
      </w:r>
    </w:p>
    <w:p>
      <w:pPr>
        <w:spacing w:after="160"/>
        <w:jc w:val="both"/>
      </w:pPr>
      <w:r>
        <w:t xml:space="preserve">Transisi dari rekam medis kertas ke rekam medis elektronik membawa manfaat signifikan bagi kesinambungan perawatan — keterbacaan, aksesibilitas lintas kunjungan, dan potensi integrasi dengan sistem rujukan berjenjang.</w:t>
      </w:r>
    </w:p>
    <w:p>
      <w:pPr>
        <w:pStyle w:val="ListParagraph"/>
        <w:numPr>
          <w:ilvl w:val="0"/>
          <w:numId w:val="1"/>
        </w:numPr>
        <w:spacing w:after="90"/>
      </w:pPr>
      <w:r>
        <w:t xml:space="preserve">Entri data klinis yang akurat dan tepat waktu, menghindari copy-paste yang tidak cermat antarkunjungan yang dapat menimbulkan kesalahan klinis berulang.</w:t>
      </w:r>
    </w:p>
    <w:p>
      <w:pPr>
        <w:pStyle w:val="ListParagraph"/>
        <w:numPr>
          <w:ilvl w:val="0"/>
          <w:numId w:val="1"/>
        </w:numPr>
        <w:spacing w:after="90"/>
      </w:pPr>
      <w:r>
        <w:t xml:space="preserve">Pemanfaatan daftar masalah (problem list) elektronik yang diperbarui secara konsisten sebagai ringkasan riwayat kesehatan pasien.</w:t>
      </w:r>
    </w:p>
    <w:p>
      <w:pPr>
        <w:pStyle w:val="Heading2"/>
        <w:spacing w:after="120" w:before="250"/>
      </w:pPr>
      <w:r>
        <w:t xml:space="preserve">B. Risiko yang Perlu Diwaspadai</w:t>
      </w:r>
    </w:p>
    <w:p>
      <w:pPr>
        <w:spacing w:after="160"/>
        <w:jc w:val="both"/>
      </w:pPr>
      <w:r>
        <w:t xml:space="preserve">Kewaspadaan terhadap alert fatigue — kecenderungan mengabaikan peringatan sistem elektronik karena frekuensinya yang berlebihan — dapat menutupi peringatan yang benar-benar penting. Interoperabilitas data antarfasilitas menjadi prasyarat sistem rujukan berjenjang yang efektif (Buku Tematik 7).</w:t>
      </w:r>
    </w:p>
    <w:p>
      <w:pPr>
        <w:pBdr>
          <w:left w:val="single" w:color="2C3A64" w:sz="24"/>
        </w:pBdr>
        <w:shd w:fill="EEF1F8" w:val="clear"/>
        <w:spacing w:after="200" w:before="100"/>
        <w:ind w:left="200"/>
      </w:pPr>
      <w:r>
        <w:rPr>
          <w:b/>
          <w:bCs/>
          <w:color w:val="2C3A64"/>
        </w:rPr>
        <w:t xml:space="preserve">🩺 Ilustrasi Kasus — </w:t>
      </w:r>
      <w:r>
        <w:t xml:space="preserve">Seorang dokter yang terburu-buru menyalin catatan kunjungan sebelumnya untuk pasien hipertensi tanpa memeriksa ulang, sehingga alergi obat baru yang dilaporkan pasien pada kunjungan terakhir tidak tercatat di ringkasan aktif. Untungnya, sistem peringatan elektronik masih mendeteksi ketidaksesuaian resep — namun kejadian ini menjadi pengingat bahwa kemudahan salin-tempel tidak boleh menggantikan ketelitian membaca ulang.</w:t>
      </w:r>
    </w:p>
    <w:p>
      <w:pPr>
        <w:pStyle w:val="Heading1"/>
        <w:spacing w:after="150" w:before="300"/>
      </w:pPr>
      <w:r>
        <w:t xml:space="preserve">BAB III — KERAHASIAAN DAN KEAMANAN DATA KESEHATAN</w:t>
      </w:r>
    </w:p>
    <w:p>
      <w:pPr>
        <w:spacing w:after="160" w:before="40"/>
        <w:jc w:val="both"/>
      </w:pPr>
      <w:r>
        <w:rPr>
          <w:i/>
          <w:iCs/>
          <w:color w:val="2C3A64"/>
          <w:sz w:val="24"/>
          <w:szCs w:val="24"/>
        </w:rPr>
        <w:t xml:space="preserve">Data kesehatan adalah salah satu rahasia paling pribadi yang dipercayakan seseorang kepada dokternya — kepercayaan itu bisa runtuh dalam satu kali kebocoran.</w:t>
      </w:r>
    </w:p>
    <w:p>
      <w:pPr>
        <w:spacing w:after="160"/>
        <w:jc w:val="both"/>
      </w:pPr>
      <w:r>
        <w:t xml:space="preserve">Data kesehatan merupakan informasi sensitif yang dilindungi hukum, menuntut dokter layanan primer memahami prinsip kerahasiaan medis sekaligus batasan pengecualiannya (mis. kewajiban pelaporan penyakit menular tertentu, situasi yang mengancam keselamatan pihak ketiga).</w:t>
      </w:r>
    </w:p>
    <w:p>
      <w:pPr>
        <w:pStyle w:val="ListParagraph"/>
        <w:numPr>
          <w:ilvl w:val="0"/>
          <w:numId w:val="1"/>
        </w:numPr>
        <w:spacing w:after="90"/>
      </w:pPr>
      <w:r>
        <w:t xml:space="preserve">Prinsip akses berbasis kebutuhan (need-to-know) bagi tenaga kesehatan yang terlibat langsung dalam perawatan pasien.</w:t>
      </w:r>
    </w:p>
    <w:p>
      <w:pPr>
        <w:pStyle w:val="ListParagraph"/>
        <w:numPr>
          <w:ilvl w:val="0"/>
          <w:numId w:val="1"/>
        </w:numPr>
        <w:spacing w:after="90"/>
      </w:pPr>
      <w:r>
        <w:t xml:space="preserve">Kewaspadaan terhadap kebocoran data melalui perangkat pribadi, media sosial, atau diskusi kasus yang tidak pada tempatnya.</w:t>
      </w:r>
    </w:p>
    <w:p>
      <w:pPr>
        <w:pStyle w:val="ListParagraph"/>
        <w:numPr>
          <w:ilvl w:val="0"/>
          <w:numId w:val="1"/>
        </w:numPr>
        <w:spacing w:after="90"/>
      </w:pPr>
      <w:r>
        <w:t xml:space="preserve">Pengamanan data elektronik melalui kata sandi individual, log akses, dan enkripsi sesuai kapasitas sistem yang tersedia.</w:t>
      </w:r>
    </w:p>
    <w:p>
      <w:pPr>
        <w:pBdr>
          <w:left w:val="single" w:color="A9812F" w:sz="24"/>
        </w:pBdr>
        <w:shd w:fill="FBEFD9" w:val="clear"/>
        <w:spacing w:after="200" w:before="100"/>
        <w:ind w:left="200"/>
      </w:pPr>
      <w:r>
        <w:rPr>
          <w:b/>
          <w:bCs/>
          <w:color w:val="8A6410"/>
        </w:rPr>
        <w:t xml:space="preserve">⚠ TINJAU TENAGA KESEHATAN — </w:t>
      </w:r>
      <w:r>
        <w:rPr>
          <w:i/>
          <w:iCs/>
        </w:rPr>
        <w:t xml:space="preserve">ketentuan hukum spesifik tentang perlindungan data kesehatan dan rekam medis tidak dikutip secara rinci pada bab ini agar tidak mengarang rujukan pasal; pembaca dengan latar belakang hukum kesehatan disarankan menelusuri peraturan perundang-undangan terkini yang berlaku.</w:t>
      </w:r>
    </w:p>
    <w:p>
      <w:pPr>
        <w:pStyle w:val="Heading1"/>
        <w:spacing w:after="150" w:before="300"/>
      </w:pPr>
      <w:r>
        <w:t xml:space="preserve">BAB IV — KONTINUITAS INFORMASI LINTAS KUNJUNGAN DAN LINTAS FASILITAS</w:t>
      </w:r>
    </w:p>
    <w:p>
      <w:pPr>
        <w:spacing w:after="160" w:before="40"/>
        <w:jc w:val="both"/>
      </w:pPr>
      <w:r>
        <w:rPr>
          <w:i/>
          <w:iCs/>
          <w:color w:val="2C3A64"/>
          <w:sz w:val="24"/>
          <w:szCs w:val="24"/>
        </w:rPr>
        <w:t xml:space="preserve">Kesinambungan perawatan tidak terjadi begitu saja — ia dibangun kalimat demi kalimat dalam rekam medis yang runut.</w:t>
      </w:r>
    </w:p>
    <w:p>
      <w:pPr>
        <w:spacing w:after="160"/>
        <w:jc w:val="both"/>
      </w:pPr>
      <w:r>
        <w:t xml:space="preserve">Salah satu ciri khas kedokteran keluarga adalah kesinambungan perawatan (continuity of care) yang bergantung pada informasi klinis yang runut dan dapat ditelusuri lintas waktu, bukan hanya episode tunggal. Ringkasan rujukan dan rujukan balik yang lengkap (Buku Tematik 7) menjadi jembatan informasi kritis antara layanan primer dan layanan sekunder-tersier.</w:t>
      </w:r>
    </w:p>
    <w:p>
      <w:pPr>
        <w:pStyle w:val="Heading1"/>
        <w:spacing w:after="150" w:before="300"/>
      </w:pPr>
      <w:r>
        <w:t xml:space="preserve">BAB V — PEMANFAATAN DATA UNTUK PENINGKATAN MUTU LAYANAN</w:t>
      </w:r>
    </w:p>
    <w:p>
      <w:pPr>
        <w:spacing w:after="160" w:before="40"/>
        <w:jc w:val="both"/>
      </w:pPr>
      <w:r>
        <w:rPr>
          <w:i/>
          <w:iCs/>
          <w:color w:val="2C3A64"/>
          <w:sz w:val="24"/>
          <w:szCs w:val="24"/>
        </w:rPr>
        <w:t xml:space="preserve">Ratusan rekam medis yang tersimpan rapi bukan hanya arsip masa lalu — mereka adalah bahan mentah untuk mengetahui apakah praktik ini benar-benar membuat pasiennya lebih sehat.</w:t>
      </w:r>
    </w:p>
    <w:p>
      <w:pPr>
        <w:spacing w:after="160"/>
        <w:jc w:val="both"/>
      </w:pPr>
      <w:r>
        <w:t xml:space="preserve">Data klinis yang terkumpul dari praktik sehari-hari bukan sekadar arsip administratif, melainkan sumber untuk audit klinis, evaluasi capaian program kesehatan masyarakat (Buku Tematik 8), dan perbaikan mutu berkelanjutan pada tingkat individu dokter maupun institusi.</w:t>
      </w:r>
    </w:p>
    <w:p>
      <w:pPr>
        <w:pStyle w:val="ListParagraph"/>
        <w:numPr>
          <w:ilvl w:val="0"/>
          <w:numId w:val="1"/>
        </w:numPr>
        <w:spacing w:after="90"/>
      </w:pPr>
      <w:r>
        <w:t xml:space="preserve">Audit klinis berkala terhadap indikator mutu tertentu (mis. capaian kendali tekanan darah pada populasi pasien hipertensi binaan).</w:t>
      </w:r>
    </w:p>
    <w:p>
      <w:pPr>
        <w:pStyle w:val="ListParagraph"/>
        <w:numPr>
          <w:ilvl w:val="0"/>
          <w:numId w:val="1"/>
        </w:numPr>
        <w:spacing w:after="90"/>
      </w:pPr>
      <w:r>
        <w:t xml:space="preserve">Identifikasi pola kesalahan atau near-miss dari data rekam medis sebagai dasar perbaikan sistem, bukan pencarian kesalahan individu semata.</w:t>
      </w:r>
    </w:p>
    <w:p>
      <w:pPr>
        <w:pStyle w:val="Heading1"/>
        <w:spacing w:after="150" w:before="300"/>
      </w:pPr>
      <w:r>
        <w:t xml:space="preserve">BAB VI — LITERASI DIGITAL DAN KOMUNIKASI KESEHATAN ELEKTRONIK</w:t>
      </w:r>
    </w:p>
    <w:p>
      <w:pPr>
        <w:spacing w:after="160" w:before="40"/>
        <w:jc w:val="both"/>
      </w:pPr>
      <w:r>
        <w:rPr>
          <w:i/>
          <w:iCs/>
          <w:color w:val="2C3A64"/>
          <w:sz w:val="24"/>
          <w:szCs w:val="24"/>
        </w:rPr>
        <w:t xml:space="preserve">Pesan singkat balasan cepat kadang cukup — tapi ada batas yang tidak boleh dilewati sebelum pasien benar-benar perlu ditatap wajahnya.</w:t>
      </w:r>
    </w:p>
    <w:p>
      <w:pPr>
        <w:spacing w:after="160"/>
        <w:jc w:val="both"/>
      </w:pPr>
      <w:r>
        <w:t xml:space="preserve">Perkembangan telemedisin dan komunikasi kesehatan digital menuntut dokter layanan primer memahami batasan dan etika komunikasi elektronik dengan pasien — termasuk kapan komunikasi digital memadai dan kapan memerlukan kontak tatap muka langsung, terutama pada situasi yang memerlukan pemeriksaan fisik atau penilaian kegawatan.</w:t>
      </w:r>
    </w:p>
    <w:p>
      <w:pPr>
        <w:pStyle w:val="Heading1"/>
        <w:spacing w:after="150" w:before="300"/>
      </w:pPr>
      <w:r>
        <w:t xml:space="preserve">BAB VI-A — PENJENJANGAN CAPAIAN PEMBELAJARAN TAHUN I–IV: PENGELOLAAN INFORMASI DAN REKAM MEDIS</w:t>
      </w:r>
    </w:p>
    <w:p>
      <w:pPr>
        <w:spacing w:after="160" w:before="40"/>
        <w:jc w:val="both"/>
      </w:pPr>
      <w:r>
        <w:rPr>
          <w:i/>
          <w:iCs/>
          <w:color w:val="2C3A64"/>
          <w:sz w:val="24"/>
          <w:szCs w:val="24"/>
        </w:rPr>
        <w:t xml:space="preserve">Rekam medis yang rapi bukan sekadar kewajiban administratif — ia adalah alat keselamatan pasien yang paling sering diremehkan, dan penjenjangan berikut menandai kapan seorang peserta didik dapat diandalkan penuh atas mutunya.</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Mengisi rekam medis elektronik secara lengkap dan taat kaidah dasar keamanan data.</w:t>
            </w:r>
          </w:p>
        </w:tc>
        <w:tc>
          <w:tcPr>
            <w:tcW w:type="dxa" w:w="2250"/>
          </w:tcPr>
          <w:p>
            <w:r>
              <w:t xml:space="preserve">Observasi dan dibimbing langsung.</w:t>
            </w:r>
          </w:p>
        </w:tc>
        <w:tc>
          <w:tcPr>
            <w:tcW w:type="dxa" w:w="2250"/>
          </w:tcPr>
          <w:p>
            <w:r>
              <w:t xml:space="preserve">Mampu mengisi rekam medis lengkap dan taat prinsip kerahasiaan dasar.</w:t>
            </w:r>
          </w:p>
        </w:tc>
      </w:tr>
      <w:tr>
        <w:tc>
          <w:tcPr>
            <w:tcW w:type="dxa" w:w="2250"/>
          </w:tcPr>
          <w:p>
            <w:r>
              <w:t xml:space="preserve">Tahun II</w:t>
            </w:r>
          </w:p>
        </w:tc>
        <w:tc>
          <w:tcPr>
            <w:tcW w:type="dxa" w:w="2250"/>
          </w:tcPr>
          <w:p>
            <w:r>
              <w:t xml:space="preserve">Menjaga kontinuitas informasi lintas kunjungan dan lintas fasilitas rujukan.</w:t>
            </w:r>
          </w:p>
        </w:tc>
        <w:tc>
          <w:tcPr>
            <w:tcW w:type="dxa" w:w="2250"/>
          </w:tcPr>
          <w:p>
            <w:r>
              <w:t xml:space="preserve">Dibimbing tidak langsung.</w:t>
            </w:r>
          </w:p>
        </w:tc>
        <w:tc>
          <w:tcPr>
            <w:tcW w:type="dxa" w:w="2250"/>
          </w:tcPr>
          <w:p>
            <w:r>
              <w:t xml:space="preserve">Mampu menyusun ringkasan rujukan/rujuk balik yang lengkap dan runut.</w:t>
            </w:r>
          </w:p>
        </w:tc>
      </w:tr>
      <w:tr>
        <w:tc>
          <w:tcPr>
            <w:tcW w:type="dxa" w:w="2250"/>
          </w:tcPr>
          <w:p>
            <w:r>
              <w:t xml:space="preserve">Tahun III</w:t>
            </w:r>
          </w:p>
        </w:tc>
        <w:tc>
          <w:tcPr>
            <w:tcW w:type="dxa" w:w="2250"/>
          </w:tcPr>
          <w:p>
            <w:r>
              <w:t xml:space="preserve">Memanfaatkan data rekam medis untuk audit mutu layanan sederhana.</w:t>
            </w:r>
          </w:p>
        </w:tc>
        <w:tc>
          <w:tcPr>
            <w:tcW w:type="dxa" w:w="2250"/>
          </w:tcPr>
          <w:p>
            <w:r>
              <w:t xml:space="preserve">Mandiri dengan supervisi berkala.</w:t>
            </w:r>
          </w:p>
        </w:tc>
        <w:tc>
          <w:tcPr>
            <w:tcW w:type="dxa" w:w="2250"/>
          </w:tcPr>
          <w:p>
            <w:r>
              <w:t xml:space="preserve">Mampu menyusun audit mutu sederhana berbasis data rekam medis.</w:t>
            </w:r>
          </w:p>
        </w:tc>
      </w:tr>
      <w:tr>
        <w:tc>
          <w:tcPr>
            <w:tcW w:type="dxa" w:w="2250"/>
          </w:tcPr>
          <w:p>
            <w:r>
              <w:t xml:space="preserve">Tahun IV</w:t>
            </w:r>
          </w:p>
        </w:tc>
        <w:tc>
          <w:tcPr>
            <w:tcW w:type="dxa" w:w="2250"/>
          </w:tcPr>
          <w:p>
            <w:r>
              <w:t xml:space="preserve">Merancang kebijakan tata kelola data dan mutu informasi tingkat wahana pendidikan.</w:t>
            </w:r>
          </w:p>
        </w:tc>
        <w:tc>
          <w:tcPr>
            <w:tcW w:type="dxa" w:w="2250"/>
          </w:tcPr>
          <w:p>
            <w:r>
              <w:t xml:space="preserve">Mandiri penuh, peran koordinasi mutu data.</w:t>
            </w:r>
          </w:p>
        </w:tc>
        <w:tc>
          <w:tcPr>
            <w:tcW w:type="dxa" w:w="2250"/>
          </w:tcPr>
          <w:p>
            <w:r>
              <w:t xml:space="preserve">Mampu mengevaluasi mutu tata kelola informasi klinis di wahana pendidikan.</w:t>
            </w:r>
          </w:p>
        </w:tc>
      </w:tr>
    </w:tbl>
    <w:p>
      <w:pPr>
        <w:spacing w:after="160"/>
      </w:pPr>
    </w:p>
    <w:p>
      <w:pPr>
        <w:pStyle w:val="Heading1"/>
        <w:spacing w:after="150" w:before="300"/>
      </w:pPr>
      <w:r>
        <w:t xml:space="preserve">BAB VI-B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rekam medis yang saya isi bisa dipahami sepenuhnya oleh sejawat lain yang belum pernah bertemu pasien ini?</w:t>
      </w:r>
    </w:p>
    <w:p>
      <w:pPr>
        <w:pStyle w:val="ListParagraph"/>
        <w:numPr>
          <w:ilvl w:val="0"/>
          <w:numId w:val="1"/>
        </w:numPr>
        <w:spacing w:after="90"/>
      </w:pPr>
      <w:r>
        <w:t xml:space="preserve">Sudahkah saya memastikan data pasien yang saya buka hanya untuk kepentingan pelayanan yang relevan?</w:t>
      </w:r>
    </w:p>
    <w:p>
      <w:pPr>
        <w:pStyle w:val="ListParagraph"/>
        <w:numPr>
          <w:ilvl w:val="0"/>
          <w:numId w:val="1"/>
        </w:numPr>
        <w:spacing w:after="90"/>
      </w:pPr>
      <w:r>
        <w:t xml:space="preserve">Bagaimana saya memastikan informasi penting tidak hilang saat pasien dirujuk atau pindah fasilitas?</w:t>
      </w:r>
    </w:p>
    <w:p>
      <w:pPr>
        <w:pStyle w:val="ListParagraph"/>
        <w:numPr>
          <w:ilvl w:val="0"/>
          <w:numId w:val="1"/>
        </w:numPr>
        <w:spacing w:after="90"/>
      </w:pPr>
      <w:r>
        <w:t xml:space="preserve">Apakah saya pernah menggunakan data rekam medis saya sendiri untuk mengevaluasi mutu praktik saya?</w:t>
      </w:r>
    </w:p>
    <w:p>
      <w:pPr>
        <w:pStyle w:val="Heading1"/>
        <w:spacing w:after="150" w:before="300"/>
      </w:pPr>
      <w:r>
        <w:t xml:space="preserve">BAB VII — PENUTUP</w:t>
      </w:r>
    </w:p>
    <w:p>
      <w:pPr>
        <w:spacing w:after="160"/>
        <w:jc w:val="both"/>
      </w:pPr>
      <w:r>
        <w:t xml:space="preserve">Pengelolaan informasi yang cermat menjadi tulang punggung tak terlihat dari seluruh kompetensi klinis yang dibahas pada buku-buku tematik lain — tanpa rekam medis yang akurat dan berkesinambungan, prinsip holistik dan berpusat pada pasien pada Buku Tematik 1 sulit diwujudkan secara konsisten lintas waktu.</w:t>
      </w:r>
    </w:p>
    <w:p>
      <w:pPr>
        <w:pStyle w:val="Heading2"/>
        <w:spacing w:after="120" w:before="250"/>
      </w:pPr>
      <w:r>
        <w:t xml:space="preserve">Glosarium</w:t>
      </w:r>
    </w:p>
    <w:p>
      <w:pPr>
        <w:spacing w:after="90"/>
      </w:pPr>
      <w:r>
        <w:rPr>
          <w:b/>
          <w:bCs/>
        </w:rPr>
        <w:t xml:space="preserve">Rekam Medis Elektronik — </w:t>
      </w:r>
      <w:r>
        <w:t xml:space="preserve">Sistem pencatatan data klinis pasien dalam format digital, menggantikan atau melengkapi rekam medis kertas.</w:t>
      </w:r>
    </w:p>
    <w:p>
      <w:pPr>
        <w:spacing w:after="90"/>
      </w:pPr>
      <w:r>
        <w:rPr>
          <w:b/>
          <w:bCs/>
        </w:rPr>
        <w:t xml:space="preserve">Alert Fatigue — </w:t>
      </w:r>
      <w:r>
        <w:t xml:space="preserve">Kecenderungan mengabaikan peringatan sistem elektronik akibat frekuensinya yang berlebihan.</w:t>
      </w:r>
    </w:p>
    <w:p>
      <w:pPr>
        <w:spacing w:after="90"/>
      </w:pPr>
      <w:r>
        <w:rPr>
          <w:b/>
          <w:bCs/>
        </w:rPr>
        <w:t xml:space="preserve">Need-to-Know — </w:t>
      </w:r>
      <w:r>
        <w:t xml:space="preserve">Prinsip akses data kesehatan yang dibatasi hanya bagi pihak yang membutuhkannya untuk perawatan langsung pasien.</w:t>
      </w:r>
    </w:p>
    <w:p>
      <w:pPr>
        <w:spacing w:after="90"/>
      </w:pPr>
      <w:r>
        <w:rPr>
          <w:b/>
          <w:bCs/>
        </w:rPr>
        <w:t xml:space="preserve">Continuity of Care — </w:t>
      </w:r>
      <w:r>
        <w:t xml:space="preserve">Kesinambungan perawatan pasien lintas waktu dan lintas fasilitas kesehatan.</w:t>
      </w:r>
    </w:p>
    <w:p>
      <w:pPr>
        <w:spacing w:after="90"/>
      </w:pPr>
      <w:r>
        <w:rPr>
          <w:b/>
          <w:bCs/>
        </w:rPr>
        <w:t xml:space="preserve">Audit Klinis — </w:t>
      </w:r>
      <w:r>
        <w:t xml:space="preserve">Proses evaluasi sistematis praktik klinis terhadap standar tertentu untuk perbaikan mutu berkelanjutan.</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Catatan: ketentuan hukum spesifik tentang rekam medis dan perlindungan data kesehatan tidak dikutip pasal per pasal pada edisi ini; pembaca disarankan menelusuri peraturan perundang-undangan kesehatan dan perlindungan data pribadi terkini yang berlaku.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2026-07-17T19:08:12.798Z</dcterms:created>
  <dcterms:modified xsi:type="dcterms:W3CDTF">2026-07-17T19:08:12.799Z</dcterms:modified>
</cp:coreProperties>
</file>

<file path=docProps/custom.xml><?xml version="1.0" encoding="utf-8"?>
<Properties xmlns="http://schemas.openxmlformats.org/officeDocument/2006/custom-properties" xmlns:vt="http://schemas.openxmlformats.org/officeDocument/2006/docPropsVTypes"/>
</file>