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jc w:val="center"/>
      </w:pPr>
      <w:r>
        <w:t xml:space="preserve">PERPUSTAKAAN DIGITAL ABBA</w:t>
      </w:r>
    </w:p>
    <w:p>
      <w:pPr>
        <w:jc w:val="center"/>
      </w:pPr>
      <w:r>
        <w:t xml:space="preserve">Jl. Kerinci Raya No. 9, Malang 65138</w:t>
      </w:r>
    </w:p>
    <w:p>
      <w:pPr>
        <w:spacing w:after="200"/>
      </w:pPr>
    </w:p>
    <w:p>
      <w:pPr>
        <w:jc w:val="center"/>
      </w:pPr>
      <w:r>
        <w:rPr>
          <w:sz w:val="20"/>
          <w:szCs w:val="20"/>
        </w:rPr>
        <w:t xml:space="preserve">Buku Tematik 1 dari Klaster Digital — Ekosistem Buku Pendidikan Dokter Spesialis Kedokteran Keluarga Layanan Primer (SpKKLP)</w:t>
      </w:r>
    </w:p>
    <w:p>
      <w:pPr>
        <w:spacing w:after="200"/>
      </w:pPr>
    </w:p>
    <w:p>
      <w:pPr>
        <w:jc w:val="center"/>
      </w:pPr>
      <w:r>
        <w:rPr>
          <w:b/>
          <w:bCs/>
          <w:sz w:val="36"/>
          <w:szCs w:val="36"/>
        </w:rPr>
        <w:t xml:space="preserve">Keterampilan Klinis Dasar Kedokteran Keluarga: Pendekatan Holistik dan Berpusat pada Pasien</w:t>
      </w:r>
    </w:p>
    <w:p>
      <w:pPr>
        <w:spacing w:after="400"/>
      </w:pPr>
    </w:p>
    <w:p>
      <w:pPr>
        <w:jc w:val="center"/>
      </w:pPr>
      <w:r>
        <w:t xml:space="preserve">Disusun oleh</w:t>
      </w:r>
    </w:p>
    <w:p>
      <w:pPr>
        <w:jc w:val="center"/>
      </w:pPr>
      <w:r>
        <w:rPr>
          <w:b/>
          <w:bCs/>
        </w:rPr>
        <w:t xml:space="preserve">Dr.dr. H. Budi Siswanto, Sp.OG, Subsp.Obginsos., SH., S.Kom.</w:t>
      </w:r>
    </w:p>
    <w:p>
      <w:pPr>
        <w:jc w:val="center"/>
      </w:pPr>
      <w:r>
        <w:t xml:space="preserve">2026</w:t>
      </w:r>
    </w:p>
    <w:p>
      <w:pPr>
        <w:pageBreakBefore/>
      </w:pPr>
    </w:p>
    <w:p>
      <w:pPr>
        <w:pStyle w:val="Heading1"/>
        <w:spacing w:after="150" w:before="300"/>
      </w:pPr>
      <w:r>
        <w:t xml:space="preserve">BAB I — MENGAPA PENDEKATAN HOLISTIK MENJADI DASAR</w:t>
      </w:r>
    </w:p>
    <w:p>
      <w:pPr>
        <w:spacing w:after="160" w:before="40"/>
        <w:jc w:val="both"/>
      </w:pPr>
      <w:r>
        <w:rPr>
          <w:i/>
          <w:iCs/>
          <w:color w:val="2C3A64"/>
          <w:sz w:val="24"/>
          <w:szCs w:val="24"/>
        </w:rPr>
        <w:t xml:space="preserve">Bayangkan dua pasien dengan keluhan yang persis sama — nyeri kepala berulang — namun satu pulang dengan resep pereda nyeri, sementara yang lain pulang dengan rencana perawatan yang mengubah arah kesehatan seluruh keluarganya. Perbedaannya bukan pada obat, melainkan pada cara dokter bertanya. Bab ini membuka alasan mengapa kedokteran keluarga memandang pasien tidak pernah sebagai individu yang berdiri sendiri.</w:t>
      </w:r>
    </w:p>
    <w:p>
      <w:pPr>
        <w:spacing w:after="160"/>
        <w:jc w:val="both"/>
      </w:pPr>
      <w:r>
        <w:t xml:space="preserve">Buku ini adalah fondasi akademik Klaster Digital, membahas Area Kompetensi f (keterampilan klinis kedokteran keluarga) sebagaimana diuraikan pada Buku Utama (U0). Berbeda dari kedokteran spesialistik berbasis organ atau sistem tunggal, kedokteran keluarga memandang pasien sebagai individu yang tidak terlepas dari konteks keluarga, lingkungan, dan budayanya. Prinsip inilah yang membedakan pendekatan dokter spesialis kedokteran keluarga layanan primer dari dokter spesialis lain.</w:t>
      </w:r>
    </w:p>
    <w:p>
      <w:pPr>
        <w:pBdr>
          <w:left w:val="single" w:color="A9812F" w:sz="18"/>
        </w:pBdr>
        <w:spacing w:after="200" w:before="100"/>
        <w:ind w:left="480"/>
      </w:pPr>
      <w:r>
        <w:rPr>
          <w:i/>
          <w:iCs/>
          <w:color w:val="5B6478"/>
        </w:rPr>
        <w:t xml:space="preserve">Pelayanan kedokteran keluarga bersifat komprehensif, kontinu, terkoordinasi, personal, mempertimbangkan keluarga, komunitas, dan lingkungannya, menjunjung tinggi etika dan hukum, serta sadar biaya dan sadar mutu.</w:t>
      </w:r>
    </w:p>
    <w:p>
      <w:pPr>
        <w:pStyle w:val="Heading2"/>
        <w:spacing w:after="120" w:before="250"/>
      </w:pPr>
      <w:r>
        <w:t xml:space="preserve">A. Sembilan Perangkat yang Akan Dipelajari</w:t>
      </w:r>
    </w:p>
    <w:p>
      <w:pPr>
        <w:spacing w:after="160"/>
        <w:jc w:val="both"/>
      </w:pPr>
      <w:r>
        <w:t xml:space="preserve">Bab-bab selanjutnya membahas perangkat klinis dasar yang membedakan pendekatan ini: genogram, family APGAR, family circle, ecomap, family life cycle, patient-centered clinical method, rekam medis berorientasi masalah, penalaran klinis pada keluhan belum terdiferensiasi, dan kunjungan rumah — seluruhnya menjadi keterampilan yang wajib dikuasai peserta didik sejak tahun pertama pendidikan (Tahun I sesuai Matriks Kewenangan Klinis Bertingkat, Dokumen P4).</w:t>
      </w:r>
    </w:p>
    <w:p>
      <w:pPr>
        <w:spacing w:after="160"/>
        <w:jc w:val="both"/>
      </w:pPr>
      <w:r>
        <w:t xml:space="preserve">Peta capaian pembelajaran buku ini mengikuti notasi berjenjang Area Kompetensi f (Kompetensi Inti f.1 sampai f.4) sebagaimana kerangka umum pada Perkonsil Nomor 65 Tahun 2019: f.1 mencakup penguasaan perangkat asesmen keluarga; f.2 mencakup metode konsultasi berpusat pada pasien; f.3 mencakup keterampilan rekam medis dan dokumentasi klinis; f.4 mencakup penalaran klinis pada presentasi belum terdiferensiasi di layanan primer.</w:t>
      </w:r>
    </w:p>
    <w:p>
      <w:pPr>
        <w:pBdr>
          <w:left w:val="single" w:color="A9812F" w:sz="24"/>
        </w:pBdr>
        <w:shd w:fill="FBEFD9" w:val="clear"/>
        <w:spacing w:after="200" w:before="100"/>
        <w:ind w:left="200"/>
      </w:pPr>
      <w:r>
        <w:rPr>
          <w:b/>
          <w:bCs/>
          <w:color w:val="8A6410"/>
        </w:rPr>
        <w:t xml:space="preserve">⚠ TINJAU TENAGA KESEHATAN — </w:t>
      </w:r>
      <w:r>
        <w:rPr>
          <w:i/>
          <w:iCs/>
        </w:rPr>
        <w:t xml:space="preserve">notasi capaian pembelajaran (f.1–f.4) pada buku ini bersifat kerangka umum berbasis struktur 7 Area Kompetensi yang telah diverifikasi terhadap salinan resmi Perkonsil 65/2019 (lihat Buku Utama/U0 Bab IX bagian C untuk definisi resmi tingkat kemampuan dari Lampiran IV); rincian sub-komponen dan capaian pembelajaran presisi (mis. f.1.2.3) belum ditelusuri satu per satu terhadap dokumen resmi dan wajib diverifikasi ulang oleh pembimbing klinis sebelum dipakai sebagai acuan penilaian formal.</w:t>
      </w:r>
    </w:p>
    <w:p>
      <w:pPr>
        <w:pStyle w:val="Heading1"/>
        <w:spacing w:after="150" w:before="300"/>
      </w:pPr>
      <w:r>
        <w:t xml:space="preserve">BAB II — GENOGRAM SEBAGAI PETA KELUARGA</w:t>
      </w:r>
    </w:p>
    <w:p>
      <w:pPr>
        <w:spacing w:after="160" w:before="40"/>
        <w:jc w:val="both"/>
      </w:pPr>
      <w:r>
        <w:rPr>
          <w:i/>
          <w:iCs/>
          <w:color w:val="2C3A64"/>
          <w:sz w:val="24"/>
          <w:szCs w:val="24"/>
        </w:rPr>
        <w:t xml:space="preserve">Sebelum menuliskan resep apa pun, cobalah gambar tiga generasi keluarga pasien Anda di secarik kertas. Dalam lima menit, pola yang tersembunyi selama bertahun-tahun sering muncul begitu saja di atas kertas — itulah kekuatan genogram.</w:t>
      </w:r>
    </w:p>
    <w:p>
      <w:pPr>
        <w:pStyle w:val="Heading2"/>
        <w:spacing w:after="120" w:before="250"/>
      </w:pPr>
      <w:r>
        <w:t xml:space="preserve">A. Anatomi dan Simbol Genogram</w:t>
      </w:r>
    </w:p>
    <w:p>
      <w:pPr>
        <w:spacing w:after="160"/>
        <w:jc w:val="both"/>
      </w:pPr>
      <w:r>
        <w:t xml:space="preserve">Genogram adalah representasi grafis struktur keluarga lintas generasi (umumnya tiga generasi) yang mencantumkan hubungan biologis, status kesehatan, dan pola relasi antaranggota keluarga. Genogram membantu dokter memahami pola penyakit keturunan, dinamika keluarga, dan sumber dukungan sosial pasien secara cepat dan visual.</w:t>
      </w:r>
    </w:p>
    <w:p>
      <w:pPr>
        <w:spacing w:after="160"/>
        <w:jc w:val="both"/>
      </w:pPr>
      <w:r>
        <w:t xml:space="preserve">Simbol standar genogram mencakup kotak (laki-laki), lingkaran (perempuan), garis pernikahan, garis keturunan, serta arsiran atau simbol tambahan untuk kondisi kesehatan tertentu (mis. arsiran penuh untuk penyakit kronik, garis putus untuk hubungan renggang, garis ganda untuk hubungan sangat dekat/enmeshed, garis zig-zag untuk konflik).</w:t>
      </w:r>
    </w:p>
    <w:p>
      <w:pPr>
        <w:pStyle w:val="ListParagraph"/>
        <w:numPr>
          <w:ilvl w:val="0"/>
          <w:numId w:val="1"/>
        </w:numPr>
        <w:spacing w:after="90"/>
      </w:pPr>
      <w:r>
        <w:t xml:space="preserve">Generasi kakek-nenek dicantumkan bila informasinya tersedia dan relevan, terutama untuk penyakit herediter.</w:t>
      </w:r>
    </w:p>
    <w:p>
      <w:pPr>
        <w:pStyle w:val="ListParagraph"/>
        <w:numPr>
          <w:ilvl w:val="0"/>
          <w:numId w:val="1"/>
        </w:numPr>
        <w:spacing w:after="90"/>
      </w:pPr>
      <w:r>
        <w:t xml:space="preserve">Tanggal lahir, tanggal meninggal beserta sebab kematian dicatat bila diketahui, karena membantu identifikasi pola penyakit familial.</w:t>
      </w:r>
    </w:p>
    <w:p>
      <w:pPr>
        <w:pStyle w:val="ListParagraph"/>
        <w:numPr>
          <w:ilvl w:val="0"/>
          <w:numId w:val="1"/>
        </w:numPr>
        <w:spacing w:after="90"/>
      </w:pPr>
      <w:r>
        <w:t xml:space="preserve">Anggota keluarga yang tinggal serumah ditandai dengan garis lingkar putus-putus di sekeliling simbol yang relevan.</w:t>
      </w:r>
    </w:p>
    <w:p>
      <w:pPr>
        <w:pStyle w:val="ListParagraph"/>
        <w:numPr>
          <w:ilvl w:val="0"/>
          <w:numId w:val="1"/>
        </w:numPr>
        <w:spacing w:after="90"/>
      </w:pPr>
      <w:r>
        <w:t xml:space="preserve">Kejadian hidup penting (perceraian, migrasi, kehilangan pekerjaan) dicatat sebagai anotasi ringkas di samping simbol terkait.</w:t>
      </w:r>
    </w:p>
    <w:p>
      <w:pPr>
        <w:pStyle w:val="Heading2"/>
        <w:spacing w:after="120" w:before="250"/>
      </w:pPr>
      <w:r>
        <w:t xml:space="preserve">B. Kapan dan Bagaimana Membuatnya dalam Praktik</w:t>
      </w:r>
    </w:p>
    <w:p>
      <w:pPr>
        <w:spacing w:after="160"/>
        <w:jc w:val="both"/>
      </w:pPr>
      <w:r>
        <w:t xml:space="preserve">Peserta didik dianjurkan membuat genogram pada kunjungan awal setiap keluarga binaan, dan memperbaruinya secara berkala — bukan sebagai tugas administratif satu kali, melainkan dokumen hidup yang berkembang seiring kunjungan berikutnya.</w:t>
      </w:r>
    </w:p>
    <w:p>
      <w:pPr>
        <w:pBdr>
          <w:left w:val="single" w:color="2C3A64" w:sz="24"/>
        </w:pBdr>
        <w:shd w:fill="EEF1F8" w:val="clear"/>
        <w:spacing w:after="200" w:before="100"/>
        <w:ind w:left="200"/>
      </w:pPr>
      <w:r>
        <w:rPr>
          <w:b/>
          <w:bCs/>
          <w:color w:val="2C3A64"/>
        </w:rPr>
        <w:t xml:space="preserve">🩺 Ilustrasi Kasus — </w:t>
      </w:r>
      <w:r>
        <w:t xml:space="preserve">Seorang perempuan 34 tahun datang dengan keluhan nyeri kepala berulang. Genogram tiga generasi yang dibuat pada kunjungan pertama mengungkap riwayat hipertensi pada ibu dan bibi dari pihak ibu, serta stroke pada kakek. Informasi ini mengubah pendekatan dokter dari sekadar tata laksana nyeri kepala simtomatik menjadi penapisan tekanan darah dan diskusi risiko kardiovaskular keluarga — mengilustrasikan bagaimana genogram mengarahkan penalaran klinis di luar keluhan utama semata.</w:t>
      </w:r>
    </w:p>
    <w:p>
      <w:pPr>
        <w:pStyle w:val="Heading1"/>
        <w:spacing w:after="150" w:before="300"/>
      </w:pPr>
      <w:r>
        <w:t xml:space="preserve">BAB III — FAMILY APGAR: MENGUKUR FUNGSI KELUARGA</w:t>
      </w:r>
    </w:p>
    <w:p>
      <w:pPr>
        <w:spacing w:after="160" w:before="40"/>
        <w:jc w:val="both"/>
      </w:pPr>
      <w:r>
        <w:rPr>
          <w:i/>
          <w:iCs/>
          <w:color w:val="2C3A64"/>
          <w:sz w:val="24"/>
          <w:szCs w:val="24"/>
        </w:rPr>
        <w:t xml:space="preserve">Bagaimana cara mengukur sesuatu yang tidak kasatmata seperti "keharmonisan keluarga"? Family APGAR menjawabnya dengan lima pertanyaan sederhana yang bisa ditanyakan dalam waktu kurang dari dua menit.</w:t>
      </w:r>
    </w:p>
    <w:p>
      <w:pPr>
        <w:pStyle w:val="Heading2"/>
        <w:spacing w:after="120" w:before="250"/>
      </w:pPr>
      <w:r>
        <w:t xml:space="preserve">A. Lima Domain Family APGAR</w:t>
      </w:r>
    </w:p>
    <w:p>
      <w:pPr>
        <w:spacing w:after="160"/>
        <w:jc w:val="both"/>
      </w:pPr>
      <w:r>
        <w:t xml:space="preserve">Family APGAR adalah instrumen skrining sederhana untuk menilai persepsi anggota keluarga terhadap fungsi keluarganya, terdiri atas lima domain.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Domain</w:t>
            </w:r>
          </w:p>
        </w:tc>
        <w:tc>
          <w:tcPr>
            <w:tcW w:type="dxa" w:w="4500"/>
            <w:shd w:fill="2C3A64" w:val="clear"/>
          </w:tcPr>
          <w:p>
            <w:r>
              <w:rPr>
                <w:b/>
                <w:bCs/>
                <w:color w:val="FFFFFF"/>
              </w:rPr>
              <w:t xml:space="preserve">Pertanyaan Inti</w:t>
            </w:r>
          </w:p>
        </w:tc>
      </w:tr>
      <w:tr>
        <w:tc>
          <w:tcPr>
            <w:tcW w:type="dxa" w:w="4500"/>
          </w:tcPr>
          <w:p>
            <w:r>
              <w:t xml:space="preserve">Adaptation (Adaptasi)</w:t>
            </w:r>
          </w:p>
        </w:tc>
        <w:tc>
          <w:tcPr>
            <w:tcW w:type="dxa" w:w="4500"/>
          </w:tcPr>
          <w:p>
            <w:r>
              <w:t xml:space="preserve">Sejauh mana saya puas dengan bantuan yang saya terima dari keluarga saat menghadapi masalah?</w:t>
            </w:r>
          </w:p>
        </w:tc>
      </w:tr>
      <w:tr>
        <w:tc>
          <w:tcPr>
            <w:tcW w:type="dxa" w:w="4500"/>
          </w:tcPr>
          <w:p>
            <w:r>
              <w:t xml:space="preserve">Partnership (Kemitraan)</w:t>
            </w:r>
          </w:p>
        </w:tc>
        <w:tc>
          <w:tcPr>
            <w:tcW w:type="dxa" w:w="4500"/>
          </w:tcPr>
          <w:p>
            <w:r>
              <w:t xml:space="preserve">Sejauh mana saya puas dengan cara keluarga membahas hal-hal dan berbagi masalah dengan saya?</w:t>
            </w:r>
          </w:p>
        </w:tc>
      </w:tr>
      <w:tr>
        <w:tc>
          <w:tcPr>
            <w:tcW w:type="dxa" w:w="4500"/>
          </w:tcPr>
          <w:p>
            <w:r>
              <w:t xml:space="preserve">Growth (Pertumbuhan)</w:t>
            </w:r>
          </w:p>
        </w:tc>
        <w:tc>
          <w:tcPr>
            <w:tcW w:type="dxa" w:w="4500"/>
          </w:tcPr>
          <w:p>
            <w:r>
              <w:t xml:space="preserve">Sejauh mana saya puas bahwa keluarga menerima dan mendukung keinginan saya untuk beraktivitas atau berkembang?</w:t>
            </w:r>
          </w:p>
        </w:tc>
      </w:tr>
      <w:tr>
        <w:tc>
          <w:tcPr>
            <w:tcW w:type="dxa" w:w="4500"/>
          </w:tcPr>
          <w:p>
            <w:r>
              <w:t xml:space="preserve">Affection (Kasih Sayang)</w:t>
            </w:r>
          </w:p>
        </w:tc>
        <w:tc>
          <w:tcPr>
            <w:tcW w:type="dxa" w:w="4500"/>
          </w:tcPr>
          <w:p>
            <w:r>
              <w:t xml:space="preserve">Sejauh mana saya puas dengan cara keluarga mengekspresikan kasih sayang dan merespons emosi saya?</w:t>
            </w:r>
          </w:p>
        </w:tc>
      </w:tr>
      <w:tr>
        <w:tc>
          <w:tcPr>
            <w:tcW w:type="dxa" w:w="4500"/>
          </w:tcPr>
          <w:p>
            <w:r>
              <w:t xml:space="preserve">Resolve (Kebersamaan)</w:t>
            </w:r>
          </w:p>
        </w:tc>
        <w:tc>
          <w:tcPr>
            <w:tcW w:type="dxa" w:w="4500"/>
          </w:tcPr>
          <w:p>
            <w:r>
              <w:t xml:space="preserve">Sejauh mana saya puas dengan cara keluarga dan saya berbagi waktu bersama?</w:t>
            </w:r>
          </w:p>
        </w:tc>
      </w:tr>
    </w:tbl>
    <w:p>
      <w:pPr>
        <w:spacing w:after="160"/>
      </w:pPr>
    </w:p>
    <w:p>
      <w:pPr>
        <w:spacing w:after="160"/>
        <w:jc w:val="both"/>
      </w:pPr>
      <w:r>
        <w:t xml:space="preserve">Setiap domain dinilai dengan skala tiga poin (hampir selalu = 2, kadang-kadang = 1, hampir tidak pernah = 0), menghasilkan skor total 0–10 yang mengelompokkan fungsi keluarga menjadi baik (skor 7–10), disfungsi sedang (skor 4–6), atau disfungsi berat (skor 0–3).</w:t>
      </w:r>
    </w:p>
    <w:p>
      <w:pPr>
        <w:pStyle w:val="Heading2"/>
        <w:spacing w:after="120" w:before="250"/>
      </w:pPr>
      <w:r>
        <w:t xml:space="preserve">B. Keterbatasan yang Wajib Disadari</w:t>
      </w:r>
    </w:p>
    <w:p>
      <w:pPr>
        <w:spacing w:after="160"/>
        <w:jc w:val="both"/>
      </w:pPr>
      <w:r>
        <w:t xml:space="preserve">Instrumen ini bukan alat diagnostik tunggal, melainkan pintu masuk untuk penggalian lebih mendalam saat skor menunjukkan potensi disfungsi. Family APGAR mengukur persepsi subjektif pada satu titik waktu, dapat berbeda antaranggota keluarga yang sama, dan tidak menggantikan penilaian klinis menyeluruh terhadap risiko keselamatan (mis. kekerasan dalam rumah tangga) yang memerlukan penggalian terarah tersendiri.</w:t>
      </w:r>
    </w:p>
    <w:p>
      <w:pPr>
        <w:pBdr>
          <w:left w:val="single" w:color="2C3A64" w:sz="24"/>
        </w:pBdr>
        <w:shd w:fill="EEF1F8" w:val="clear"/>
        <w:spacing w:after="200" w:before="100"/>
        <w:ind w:left="200"/>
      </w:pPr>
      <w:r>
        <w:rPr>
          <w:b/>
          <w:bCs/>
          <w:color w:val="2C3A64"/>
        </w:rPr>
        <w:t xml:space="preserve">🩺 Ilustrasi Kasus — </w:t>
      </w:r>
      <w:r>
        <w:t xml:space="preserve">Seorang remaja 16 tahun dibawa ayahnya karena "sering murung". Skor Family APGAR yang diisi terpisah oleh remaja tersebut menunjukkan disfungsi berat (skor 2), sangat berbeda dari kesan ayahnya yang menganggap keluarganya baik-baik saja. Perbedaan ini menjadi pintu masuk penggalian lebih dalam tentang dinamika keluarga yang selama ini tidak terungkap dalam konsultasi singkat.</w:t>
      </w:r>
    </w:p>
    <w:p>
      <w:pPr>
        <w:pStyle w:val="Heading1"/>
        <w:spacing w:after="150" w:before="300"/>
      </w:pPr>
      <w:r>
        <w:t xml:space="preserve">BAB IV — FAMILY CIRCLE, ECOMAP, DAN FAMILY LIFE CYCLE</w:t>
      </w:r>
    </w:p>
    <w:p>
      <w:pPr>
        <w:spacing w:after="160" w:before="40"/>
        <w:jc w:val="both"/>
      </w:pPr>
      <w:r>
        <w:rPr>
          <w:i/>
          <w:iCs/>
          <w:color w:val="2C3A64"/>
          <w:sz w:val="24"/>
          <w:szCs w:val="24"/>
        </w:rPr>
        <w:t xml:space="preserve">Genogram menunjukkan siapa saja anggota keluarga. Tiga perangkat berikut menunjukkan sesuatu yang lebih halus: seberapa dekat mereka secara emosional, ke mana saja mereka terhubung di luar rumah, dan di fase kehidupan mana keluarga itu sedang berada.</w:t>
      </w:r>
    </w:p>
    <w:p>
      <w:pPr>
        <w:pStyle w:val="Heading2"/>
        <w:spacing w:after="120" w:before="250"/>
      </w:pPr>
      <w:r>
        <w:t xml:space="preserve">A. Family Circle dan Ecomap</w:t>
      </w:r>
    </w:p>
    <w:p>
      <w:pPr>
        <w:spacing w:after="160"/>
        <w:jc w:val="both"/>
      </w:pPr>
      <w:r>
        <w:t xml:space="preserve">Family circle adalah diagram lingkaran yang menggambarkan kedekatan emosional dan pola interaksi antaranggota keluarga secara visual — pelengkap genogram yang lebih menekankan aspek struktur biologis.</w:t>
      </w:r>
    </w:p>
    <w:p>
      <w:pPr>
        <w:spacing w:after="160"/>
        <w:jc w:val="both"/>
      </w:pPr>
      <w:r>
        <w:t xml:space="preserve">Ecomap memperluas family circle dengan memetakan hubungan keluarga terhadap sistem di luar keluarga inti: tempat kerja, sekolah, fasilitas kesehatan, komunitas keagamaan, dan layanan sosial. Ecomap membantu dokter mengidentifikasi sumber dukungan eksternal yang dapat dilibatkan dalam rencana perawatan, sekaligus mengungkap keterasingan sosial yang menjadi faktor risiko tersembunyi pada banyak masalah kesehatan kronik.</w:t>
      </w:r>
    </w:p>
    <w:p>
      <w:pPr>
        <w:pStyle w:val="Heading2"/>
        <w:spacing w:after="120" w:before="250"/>
      </w:pPr>
      <w:r>
        <w:t xml:space="preserve">B. Family Life Cycle</w:t>
      </w:r>
    </w:p>
    <w:p>
      <w:pPr>
        <w:spacing w:after="160"/>
        <w:jc w:val="both"/>
      </w:pPr>
      <w:r>
        <w:t xml:space="preserve">Family life cycle memetakan tahap perkembangan keluarga beserta tugas perkembangan dan potensi krisis pada tiap tahap, yang membantu dokter mengantisipasi masalah kesehatan yang lazim muncul pada tahap tertentu.</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c>
          <w:tcPr>
            <w:tcW w:type="dxa" w:w="3000"/>
            <w:shd w:fill="2C3A64" w:val="clear"/>
          </w:tcPr>
          <w:p>
            <w:r>
              <w:rPr>
                <w:b/>
                <w:bCs/>
                <w:color w:val="FFFFFF"/>
              </w:rPr>
              <w:t xml:space="preserve">Tahap Family Life Cycle</w:t>
            </w:r>
          </w:p>
        </w:tc>
        <w:tc>
          <w:tcPr>
            <w:tcW w:type="dxa" w:w="3000"/>
            <w:shd w:fill="2C3A64" w:val="clear"/>
          </w:tcPr>
          <w:p>
            <w:r>
              <w:rPr>
                <w:b/>
                <w:bCs/>
                <w:color w:val="FFFFFF"/>
              </w:rPr>
              <w:t xml:space="preserve">Tugas Perkembangan Utama</w:t>
            </w:r>
          </w:p>
        </w:tc>
        <w:tc>
          <w:tcPr>
            <w:tcW w:type="dxa" w:w="3000"/>
            <w:shd w:fill="2C3A64" w:val="clear"/>
          </w:tcPr>
          <w:p>
            <w:r>
              <w:rPr>
                <w:b/>
                <w:bCs/>
                <w:color w:val="FFFFFF"/>
              </w:rPr>
              <w:t xml:space="preserve">Potensi Krisis/Isu Kesehatan Terkait</w:t>
            </w:r>
          </w:p>
        </w:tc>
      </w:tr>
      <w:tr>
        <w:tc>
          <w:tcPr>
            <w:tcW w:type="dxa" w:w="3000"/>
          </w:tcPr>
          <w:p>
            <w:r>
              <w:t xml:space="preserve">Keluarga baru menikah</w:t>
            </w:r>
          </w:p>
        </w:tc>
        <w:tc>
          <w:tcPr>
            <w:tcW w:type="dxa" w:w="3000"/>
          </w:tcPr>
          <w:p>
            <w:r>
              <w:t xml:space="preserve">Membangun identitas sebagai pasangan, menegosiasikan peran</w:t>
            </w:r>
          </w:p>
        </w:tc>
        <w:tc>
          <w:tcPr>
            <w:tcW w:type="dxa" w:w="3000"/>
          </w:tcPr>
          <w:p>
            <w:r>
              <w:t xml:space="preserve">Adaptasi peran, perencanaan kehamilan, kesehatan reproduksi</w:t>
            </w:r>
          </w:p>
        </w:tc>
      </w:tr>
      <w:tr>
        <w:tc>
          <w:tcPr>
            <w:tcW w:type="dxa" w:w="3000"/>
          </w:tcPr>
          <w:p>
            <w:r>
              <w:t xml:space="preserve">Keluarga dengan anak kecil</w:t>
            </w:r>
          </w:p>
        </w:tc>
        <w:tc>
          <w:tcPr>
            <w:tcW w:type="dxa" w:w="3000"/>
          </w:tcPr>
          <w:p>
            <w:r>
              <w:t xml:space="preserve">Adaptasi menjadi orang tua, membagi peran pengasuhan</w:t>
            </w:r>
          </w:p>
        </w:tc>
        <w:tc>
          <w:tcPr>
            <w:tcW w:type="dxa" w:w="3000"/>
          </w:tcPr>
          <w:p>
            <w:r>
              <w:t xml:space="preserve">Kesehatan ibu-anak, tumbuh kembang, kelelahan pengasuh</w:t>
            </w:r>
          </w:p>
        </w:tc>
      </w:tr>
      <w:tr>
        <w:tc>
          <w:tcPr>
            <w:tcW w:type="dxa" w:w="3000"/>
          </w:tcPr>
          <w:p>
            <w:r>
              <w:t xml:space="preserve">Keluarga dengan anak usia sekolah/remaja</w:t>
            </w:r>
          </w:p>
        </w:tc>
        <w:tc>
          <w:tcPr>
            <w:tcW w:type="dxa" w:w="3000"/>
          </w:tcPr>
          <w:p>
            <w:r>
              <w:t xml:space="preserve">Menyeimbangkan otonomi anak dengan batasan keluarga</w:t>
            </w:r>
          </w:p>
        </w:tc>
        <w:tc>
          <w:tcPr>
            <w:tcW w:type="dxa" w:w="3000"/>
          </w:tcPr>
          <w:p>
            <w:r>
              <w:t xml:space="preserve">Kesehatan jiwa remaja, cedera, perilaku berisiko</w:t>
            </w:r>
          </w:p>
        </w:tc>
      </w:tr>
      <w:tr>
        <w:tc>
          <w:tcPr>
            <w:tcW w:type="dxa" w:w="3000"/>
          </w:tcPr>
          <w:p>
            <w:r>
              <w:t xml:space="preserve">Keluarga melepas anak (launching)</w:t>
            </w:r>
          </w:p>
        </w:tc>
        <w:tc>
          <w:tcPr>
            <w:tcW w:type="dxa" w:w="3000"/>
          </w:tcPr>
          <w:p>
            <w:r>
              <w:t xml:space="preserve">Melepas anak dewasa muda, redefinisi hubungan pasangan</w:t>
            </w:r>
          </w:p>
        </w:tc>
        <w:tc>
          <w:tcPr>
            <w:tcW w:type="dxa" w:w="3000"/>
          </w:tcPr>
          <w:p>
            <w:r>
              <w:t xml:space="preserve">Sindrom sarang kosong, transisi peran</w:t>
            </w:r>
          </w:p>
        </w:tc>
      </w:tr>
      <w:tr>
        <w:tc>
          <w:tcPr>
            <w:tcW w:type="dxa" w:w="3000"/>
          </w:tcPr>
          <w:p>
            <w:r>
              <w:t xml:space="preserve">Keluarga usia lanjut</w:t>
            </w:r>
          </w:p>
        </w:tc>
        <w:tc>
          <w:tcPr>
            <w:tcW w:type="dxa" w:w="3000"/>
          </w:tcPr>
          <w:p>
            <w:r>
              <w:t xml:space="preserve">Adaptasi terhadap pensiun, kehilangan, dan keterbatasan fungsional</w:t>
            </w:r>
          </w:p>
        </w:tc>
        <w:tc>
          <w:tcPr>
            <w:tcW w:type="dxa" w:w="3000"/>
          </w:tcPr>
          <w:p>
            <w:r>
              <w:t xml:space="preserve">Geriatri, penyakit degeneratif, dukacita</w:t>
            </w:r>
          </w:p>
        </w:tc>
      </w:tr>
    </w:tbl>
    <w:p>
      <w:pPr>
        <w:spacing w:after="160"/>
      </w:pPr>
    </w:p>
    <w:p>
      <w:pPr>
        <w:pBdr>
          <w:left w:val="single" w:color="2C3A64" w:sz="24"/>
        </w:pBdr>
        <w:shd w:fill="EEF1F8" w:val="clear"/>
        <w:spacing w:after="200" w:before="100"/>
        <w:ind w:left="200"/>
      </w:pPr>
      <w:r>
        <w:rPr>
          <w:b/>
          <w:bCs/>
          <w:color w:val="2C3A64"/>
        </w:rPr>
        <w:t xml:space="preserve">🩺 Ilustrasi Kasus — </w:t>
      </w:r>
      <w:r>
        <w:t xml:space="preserve">Ecomap keluarga binaan seorang lansia 70 tahun yang tinggal sendiri menunjukkan garis putus ke seluruh sistem eksternal: tidak aktif di komunitas keagamaan, jarang dikunjungi anak yang tinggal di luar kota, dan tidak terdaftar dalam program posyandu lansia setempat. Temuan ini mengarahkan rencana perawatan bukan pada obat tambahan, melainkan pada rujukan ke program kunjungan kader kesehatan setempat.</w:t>
      </w:r>
    </w:p>
    <w:p>
      <w:pPr>
        <w:pStyle w:val="Heading1"/>
        <w:spacing w:after="150" w:before="300"/>
      </w:pPr>
      <w:r>
        <w:t xml:space="preserve">BAB V — PATIENT-CENTERED CLINICAL METHOD</w:t>
      </w:r>
    </w:p>
    <w:p>
      <w:pPr>
        <w:spacing w:after="160" w:before="40"/>
        <w:jc w:val="both"/>
      </w:pPr>
      <w:r>
        <w:rPr>
          <w:i/>
          <w:iCs/>
          <w:color w:val="2C3A64"/>
          <w:sz w:val="24"/>
          <w:szCs w:val="24"/>
        </w:rPr>
        <w:t xml:space="preserve">Dua dokter bisa mendengar keluhan yang sama persis, memeriksa dengan cermat yang sama, dan tetap menghasilkan rencana perawatan yang gagal — karena satu dari mereka lupa bertanya apa yang sebenarnya pasien takutkan.</w:t>
      </w:r>
    </w:p>
    <w:p>
      <w:pPr>
        <w:pStyle w:val="Heading2"/>
        <w:spacing w:after="120" w:before="250"/>
      </w:pPr>
      <w:r>
        <w:t xml:space="preserve">A. Mengintegrasikan Disease dan Illness</w:t>
      </w:r>
    </w:p>
    <w:p>
      <w:pPr>
        <w:spacing w:after="160"/>
        <w:jc w:val="both"/>
      </w:pPr>
      <w:r>
        <w:t xml:space="preserve">Patient-Centered Clinical Method (PCCM) adalah kerangka konsultasi yang mengintegrasikan perspektif penyakit (disease) dari sudut pandang klinis dan perspektif sakit (illness) dari sudut pandang pasien — mencakup perasaan, pemahaman, dampak pada fungsi, dan harapan pasien terhadap konsultasi.</w:t>
      </w:r>
    </w:p>
    <w:p>
      <w:pPr>
        <w:pStyle w:val="ListParagraph"/>
        <w:numPr>
          <w:ilvl w:val="0"/>
          <w:numId w:val="1"/>
        </w:numPr>
        <w:spacing w:after="90"/>
      </w:pPr>
      <w:r>
        <w:t xml:space="preserve">Menggali riwayat penyakit sekaligus pengalaman sakit pasien secara bersamaan, bukan berurutan.</w:t>
      </w:r>
    </w:p>
    <w:p>
      <w:pPr>
        <w:pStyle w:val="ListParagraph"/>
        <w:numPr>
          <w:ilvl w:val="0"/>
          <w:numId w:val="1"/>
        </w:numPr>
        <w:spacing w:after="90"/>
      </w:pPr>
      <w:r>
        <w:t xml:space="preserve">Memahami keseluruhan diri pasien: konteks keluarga, pekerjaan, dan tahap kehidupan.</w:t>
      </w:r>
    </w:p>
    <w:p>
      <w:pPr>
        <w:pStyle w:val="ListParagraph"/>
        <w:numPr>
          <w:ilvl w:val="0"/>
          <w:numId w:val="1"/>
        </w:numPr>
        <w:spacing w:after="90"/>
      </w:pPr>
      <w:r>
        <w:t xml:space="preserve">Mencapai pemahaman bersama (shared understanding) tentang masalah dan rencana penanganan.</w:t>
      </w:r>
    </w:p>
    <w:p>
      <w:pPr>
        <w:pStyle w:val="ListParagraph"/>
        <w:numPr>
          <w:ilvl w:val="0"/>
          <w:numId w:val="1"/>
        </w:numPr>
        <w:spacing w:after="90"/>
      </w:pPr>
      <w:r>
        <w:t xml:space="preserve">Melibatkan pencegahan dan promosi kesehatan dalam setiap kontak klinis.</w:t>
      </w:r>
    </w:p>
    <w:p>
      <w:pPr>
        <w:pStyle w:val="ListParagraph"/>
        <w:numPr>
          <w:ilvl w:val="0"/>
          <w:numId w:val="1"/>
        </w:numPr>
        <w:spacing w:after="90"/>
      </w:pPr>
      <w:r>
        <w:t xml:space="preserve">Memperkuat hubungan dokter-pasien yang berkelanjutan sebagai bagian dari proses terapeutik itu sendiri.</w:t>
      </w:r>
    </w:p>
    <w:p>
      <w:pPr>
        <w:pStyle w:val="ListParagraph"/>
        <w:numPr>
          <w:ilvl w:val="0"/>
          <w:numId w:val="1"/>
        </w:numPr>
        <w:spacing w:after="90"/>
      </w:pPr>
      <w:r>
        <w:t xml:space="preserve">Bersikap realistis terhadap keterbatasan waktu, sumber daya, dan tim yang tersedia di layanan primer.</w:t>
      </w:r>
    </w:p>
    <w:p>
      <w:pPr>
        <w:pStyle w:val="Heading2"/>
        <w:spacing w:after="120" w:before="250"/>
      </w:pPr>
      <w:r>
        <w:t xml:space="preserve">B. Kerangka FIFE untuk Menggali Perspektif Illness</w:t>
      </w:r>
    </w:p>
    <w:p>
      <w:pPr>
        <w:spacing w:after="160"/>
        <w:jc w:val="both"/>
      </w:pPr>
      <w:r>
        <w:t xml:space="preserve">FIFE adalah kerangka praktis untuk menstrukturkan penggalian perspektif illness pasien tanpa terasa seperti interogasi.</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Komponen FIFE</w:t>
            </w:r>
          </w:p>
        </w:tc>
        <w:tc>
          <w:tcPr>
            <w:tcW w:type="dxa" w:w="4500"/>
            <w:shd w:fill="2C3A64" w:val="clear"/>
          </w:tcPr>
          <w:p>
            <w:r>
              <w:rPr>
                <w:b/>
                <w:bCs/>
                <w:color w:val="FFFFFF"/>
              </w:rPr>
              <w:t xml:space="preserve">Fokus Penggalian</w:t>
            </w:r>
          </w:p>
        </w:tc>
      </w:tr>
      <w:tr>
        <w:tc>
          <w:tcPr>
            <w:tcW w:type="dxa" w:w="4500"/>
          </w:tcPr>
          <w:p>
            <w:r>
              <w:t xml:space="preserve">Feelings (Perasaan)</w:t>
            </w:r>
          </w:p>
        </w:tc>
        <w:tc>
          <w:tcPr>
            <w:tcW w:type="dxa" w:w="4500"/>
          </w:tcPr>
          <w:p>
            <w:r>
              <w:t xml:space="preserve">Apa yang dikhawatirkan pasien tentang keluhannya?</w:t>
            </w:r>
          </w:p>
        </w:tc>
      </w:tr>
      <w:tr>
        <w:tc>
          <w:tcPr>
            <w:tcW w:type="dxa" w:w="4500"/>
          </w:tcPr>
          <w:p>
            <w:r>
              <w:t xml:space="preserve">Ideas (Gagasan)</w:t>
            </w:r>
          </w:p>
        </w:tc>
        <w:tc>
          <w:tcPr>
            <w:tcW w:type="dxa" w:w="4500"/>
          </w:tcPr>
          <w:p>
            <w:r>
              <w:t xml:space="preserve">Menurut pasien, apa penyebab keluhannya?</w:t>
            </w:r>
          </w:p>
        </w:tc>
      </w:tr>
      <w:tr>
        <w:tc>
          <w:tcPr>
            <w:tcW w:type="dxa" w:w="4500"/>
          </w:tcPr>
          <w:p>
            <w:r>
              <w:t xml:space="preserve">Function (Fungsi)</w:t>
            </w:r>
          </w:p>
        </w:tc>
        <w:tc>
          <w:tcPr>
            <w:tcW w:type="dxa" w:w="4500"/>
          </w:tcPr>
          <w:p>
            <w:r>
              <w:t xml:space="preserve">Bagaimana keluhan ini memengaruhi aktivitas sehari-hari pasien?</w:t>
            </w:r>
          </w:p>
        </w:tc>
      </w:tr>
      <w:tr>
        <w:tc>
          <w:tcPr>
            <w:tcW w:type="dxa" w:w="4500"/>
          </w:tcPr>
          <w:p>
            <w:r>
              <w:t xml:space="preserve">Expectations (Harapan)</w:t>
            </w:r>
          </w:p>
        </w:tc>
        <w:tc>
          <w:tcPr>
            <w:tcW w:type="dxa" w:w="4500"/>
          </w:tcPr>
          <w:p>
            <w:r>
              <w:t xml:space="preserve">Apa yang pasien harapkan dari konsultasi ini?</w:t>
            </w:r>
          </w:p>
        </w:tc>
      </w:tr>
    </w:tbl>
    <w:p>
      <w:pPr>
        <w:spacing w:after="160"/>
      </w:pPr>
    </w:p>
    <w:p>
      <w:pPr>
        <w:pBdr>
          <w:left w:val="single" w:color="2C3A64" w:sz="24"/>
        </w:pBdr>
        <w:shd w:fill="EEF1F8" w:val="clear"/>
        <w:spacing w:after="200" w:before="100"/>
        <w:ind w:left="200"/>
      </w:pPr>
      <w:r>
        <w:rPr>
          <w:b/>
          <w:bCs/>
          <w:color w:val="2C3A64"/>
        </w:rPr>
        <w:t xml:space="preserve">🩺 Ilustrasi Kasus — </w:t>
      </w:r>
      <w:r>
        <w:t xml:space="preserve">Seorang laki-laki 45 tahun datang dengan nyeri dada ringan yang sebenarnya secara klinis tergolong nyeri otot dinding dada. Namun penggalian FIFE mengungkap bahwa ia baru saja kehilangan rekan kerja seusianya akibat serangan jantung — kekhawatirannya bukan soal nyerinya, melainkan ketakutan bahwa ia akan bernasib sama. Tanpa FIFE, dokter mungkin hanya meresepkan pereda nyeri tanpa menjawab kekhawatiran sesungguhnya yang membawa pasien ini datang.</w:t>
      </w:r>
    </w:p>
    <w:p>
      <w:pPr>
        <w:pStyle w:val="Heading1"/>
        <w:spacing w:after="150" w:before="300"/>
      </w:pPr>
      <w:r>
        <w:t xml:space="preserve">BAB VI — REKAM MEDIS BERORIENTASI MASALAH (SOAP)</w:t>
      </w:r>
    </w:p>
    <w:p>
      <w:pPr>
        <w:spacing w:after="160" w:before="40"/>
        <w:jc w:val="both"/>
      </w:pPr>
      <w:r>
        <w:rPr>
          <w:i/>
          <w:iCs/>
          <w:color w:val="2C3A64"/>
          <w:sz w:val="24"/>
          <w:szCs w:val="24"/>
        </w:rPr>
        <w:t xml:space="preserve">Bayangkan pasien yang sama datang lima kali dalam setahun ke lima dokter berbeda tanpa catatan yang runut — setiap kali seperti memulai dari nol. Rekam medis berorientasi masalah dirancang justru untuk mencegah hal itu terjadi.</w:t>
      </w:r>
    </w:p>
    <w:p>
      <w:pPr>
        <w:pStyle w:val="Heading2"/>
        <w:spacing w:after="120" w:before="250"/>
      </w:pPr>
      <w:r>
        <w:t xml:space="preserve">A. Struktur SOAP</w:t>
      </w:r>
    </w:p>
    <w:p>
      <w:pPr>
        <w:spacing w:after="160"/>
        <w:jc w:val="both"/>
      </w:pPr>
      <w:r>
        <w:t xml:space="preserve">Rekam medis berorientasi masalah (Problem-Oriented Medical Record, POMR) dengan format SOAP (Subjective, Objective, Assessment, Plan) menjadi standar dokumentasi yang konsisten dengan pendekatan berkesinambungan kedokteran keluarga, karena memungkinkan penelusuran perjalanan setiap masalah kesehatan pasien lintas kunjungan, bukan hanya episode tunggal.</w:t>
      </w:r>
    </w:p>
    <w:p>
      <w:pPr>
        <w:pStyle w:val="ListParagraph"/>
        <w:numPr>
          <w:ilvl w:val="0"/>
          <w:numId w:val="1"/>
        </w:numPr>
        <w:spacing w:after="90"/>
      </w:pPr>
      <w:r>
        <w:t xml:space="preserve">Subjective: keluhan dan narasi pasien, termasuk elemen FIFE yang relevan.</w:t>
      </w:r>
    </w:p>
    <w:p>
      <w:pPr>
        <w:pStyle w:val="ListParagraph"/>
        <w:numPr>
          <w:ilvl w:val="0"/>
          <w:numId w:val="1"/>
        </w:numPr>
        <w:spacing w:after="90"/>
      </w:pPr>
      <w:r>
        <w:t xml:space="preserve">Objective: temuan pemeriksaan fisik dan hasil penunjang yang terukur.</w:t>
      </w:r>
    </w:p>
    <w:p>
      <w:pPr>
        <w:pStyle w:val="ListParagraph"/>
        <w:numPr>
          <w:ilvl w:val="0"/>
          <w:numId w:val="1"/>
        </w:numPr>
        <w:spacing w:after="90"/>
      </w:pPr>
      <w:r>
        <w:t xml:space="preserve">Assessment: interpretasi klinis dan diagnosis kerja, termasuk diagnosis banding bila relevan.</w:t>
      </w:r>
    </w:p>
    <w:p>
      <w:pPr>
        <w:pStyle w:val="ListParagraph"/>
        <w:numPr>
          <w:ilvl w:val="0"/>
          <w:numId w:val="1"/>
        </w:numPr>
        <w:spacing w:after="90"/>
      </w:pPr>
      <w:r>
        <w:t xml:space="preserve">Plan: rencana diagnostik lanjutan, terapi, edukasi, dan rencana tindak lanjut, termasuk kriteria rujukan bila diperlukan.</w:t>
      </w:r>
    </w:p>
    <w:p>
      <w:pPr>
        <w:pStyle w:val="Heading2"/>
        <w:spacing w:after="120" w:before="250"/>
      </w:pPr>
      <w:r>
        <w:t xml:space="preserve">B. Daftar Masalah sebagai Ringkasan Hidup</w:t>
      </w:r>
    </w:p>
    <w:p>
      <w:pPr>
        <w:spacing w:after="160"/>
        <w:jc w:val="both"/>
      </w:pPr>
      <w:r>
        <w:t xml:space="preserve">Daftar masalah (problem list) yang diperbarui pada setiap kunjungan menjadi ringkasan hidup riwayat kesehatan pasien, mempermudah koordinasi perawatan lintas kunjungan dan lintas tenaga kesehatan, serta menjadi dasar bagi Buku Tematik 10 (Pengelolaan Informasi dan Rekam Medis di Layanan Primer) yang membahas aspek pengelolaan informasi secara lebih rinci.</w:t>
      </w:r>
    </w:p>
    <w:p>
      <w:pPr>
        <w:pStyle w:val="Heading1"/>
        <w:spacing w:after="150" w:before="300"/>
      </w:pPr>
      <w:r>
        <w:t xml:space="preserve">BAB VII — PENALARAN KLINIS PADA KELUHAN BELUM TERDIFERENSIASI</w:t>
      </w:r>
    </w:p>
    <w:p>
      <w:pPr>
        <w:spacing w:after="160" w:before="40"/>
        <w:jc w:val="both"/>
      </w:pPr>
      <w:r>
        <w:rPr>
          <w:i/>
          <w:iCs/>
          <w:color w:val="2C3A64"/>
          <w:sz w:val="24"/>
          <w:szCs w:val="24"/>
        </w:rPr>
        <w:t xml:space="preserve">Di rumah sakit, pasien biasanya sudah "disaring" sebelum sampai ke dokter spesialis. Di layanan primer, dokterlah penyaring pertama — dan sering kali harus membuat keputusan penting sebelum diagnosis benar-benar jelas.</w:t>
      </w:r>
    </w:p>
    <w:p>
      <w:pPr>
        <w:pStyle w:val="Heading2"/>
        <w:spacing w:after="120" w:before="250"/>
      </w:pPr>
      <w:r>
        <w:t xml:space="preserve">A. Dua Strategi Penalaran</w:t>
      </w:r>
    </w:p>
    <w:p>
      <w:pPr>
        <w:spacing w:after="160"/>
        <w:jc w:val="both"/>
      </w:pPr>
      <w:r>
        <w:t xml:space="preserve">Ciri khas layanan primer adalah tingginya proporsi pasien yang datang dengan keluhan belum terdiferensiasi (undifferentiated presentation) — misalnya kelelahan, nyeri perut, atau pusing — yang pada tahap awal belum mengarah jelas ke satu diagnosis.</w:t>
      </w:r>
    </w:p>
    <w:p>
      <w:pPr>
        <w:pStyle w:val="ListParagraph"/>
        <w:numPr>
          <w:ilvl w:val="0"/>
          <w:numId w:val="1"/>
        </w:numPr>
        <w:spacing w:after="90"/>
      </w:pPr>
      <w:r>
        <w:t xml:space="preserve">Strategi pengenalan pola (pattern recognition) untuk presentasi yang lazim dan khas.</w:t>
      </w:r>
    </w:p>
    <w:p>
      <w:pPr>
        <w:pStyle w:val="ListParagraph"/>
        <w:numPr>
          <w:ilvl w:val="0"/>
          <w:numId w:val="1"/>
        </w:numPr>
        <w:spacing w:after="90"/>
      </w:pPr>
      <w:r>
        <w:t xml:space="preserve">Strategi hipotetiko-deduktif: menyusun hipotesis awal, lalu menggali/memeriksa secara terarah untuk mengonfirmasi atau menyingkirkannya.</w:t>
      </w:r>
    </w:p>
    <w:p>
      <w:pPr>
        <w:pStyle w:val="Heading2"/>
        <w:spacing w:after="120" w:before="250"/>
      </w:pPr>
      <w:r>
        <w:t xml:space="preserve">B. Toleransi terhadap Ketidakpastian dan Safety Netting</w:t>
      </w:r>
    </w:p>
    <w:p>
      <w:pPr>
        <w:spacing w:after="160"/>
        <w:jc w:val="both"/>
      </w:pPr>
      <w:r>
        <w:t xml:space="preserve">Kesadaran terhadap red flags — tanda bahaya yang mengharuskan penyingkiran kondisi serius — perlu diimbangi dengan toleransi terhadap ketidakpastian: menerima bahwa sebagian keluhan belum dapat didiagnosis pasti pada kunjungan pertama, dan menetapkan rencana pemantauan (watchful waiting) sebagai strategi klinis yang sah, bukan kegagalan diagnostik. Prinsip "safety netting" — memberi instruksi eksplisit kepada pasien tentang kapan harus kembali atau mencari pertolongan segera bila gejala memburuk — menjadi pelengkap wajib dari strategi ini.</w:t>
      </w:r>
    </w:p>
    <w:p>
      <w:pPr>
        <w:pBdr>
          <w:left w:val="single" w:color="A9812F" w:sz="24"/>
        </w:pBdr>
        <w:shd w:fill="FBEFD9" w:val="clear"/>
        <w:spacing w:after="200" w:before="100"/>
        <w:ind w:left="200"/>
      </w:pPr>
      <w:r>
        <w:rPr>
          <w:b/>
          <w:bCs/>
          <w:color w:val="8A6410"/>
        </w:rPr>
        <w:t xml:space="preserve">⚠ TINJAU TENAGA KESEHATAN — </w:t>
      </w:r>
      <w:r>
        <w:rPr>
          <w:i/>
          <w:iCs/>
        </w:rPr>
        <w:t xml:space="preserve">contoh red flags spesifik per keluhan tidak dicantumkan secara rinci pada bab ini agar tidak tumpang tindih dengan Buku Tematik 7 (Kegawatdaruratan dan Sistem Rujukan Berjenjang); pembaca diarahkan ke buku tersebut untuk kriteria rujukan emergensi yang lebih rinci.</w:t>
      </w:r>
    </w:p>
    <w:p>
      <w:pPr>
        <w:pBdr>
          <w:left w:val="single" w:color="2C3A64" w:sz="24"/>
        </w:pBdr>
        <w:shd w:fill="EEF1F8" w:val="clear"/>
        <w:spacing w:after="200" w:before="100"/>
        <w:ind w:left="200"/>
      </w:pPr>
      <w:r>
        <w:rPr>
          <w:b/>
          <w:bCs/>
          <w:color w:val="2C3A64"/>
        </w:rPr>
        <w:t xml:space="preserve">🩺 Ilustrasi Kasus — </w:t>
      </w:r>
      <w:r>
        <w:t xml:space="preserve">Seorang perempuan 28 tahun datang dengan kelelahan selama dua minggu tanpa gejala lain yang jelas. Alih-alih memesan seluruh panel pemeriksaan laboratorium sekaligus, dokter memilih strategi hipotetiko-deduktif: menggali pola tidur, beban kerja, dan gejala penyerta ringan yang mengarah pada anemia ringan akibat menstruasi berat. Pasien diberi safety netting jelas — kembali segera bila muncul sesak, pucat berat, atau perdarahan tidak biasa — sembari menunggu hasil pemeriksaan darah sederhana.</w:t>
      </w:r>
    </w:p>
    <w:p>
      <w:pPr>
        <w:pStyle w:val="Heading1"/>
        <w:spacing w:after="150" w:before="300"/>
      </w:pPr>
      <w:r>
        <w:t xml:space="preserve">BAB VIII — KUNJUNGAN RUMAH (HOME VISIT)</w:t>
      </w:r>
    </w:p>
    <w:p>
      <w:pPr>
        <w:spacing w:after="160" w:before="40"/>
        <w:jc w:val="both"/>
      </w:pPr>
      <w:r>
        <w:rPr>
          <w:i/>
          <w:iCs/>
          <w:color w:val="2C3A64"/>
          <w:sz w:val="24"/>
          <w:szCs w:val="24"/>
        </w:rPr>
        <w:t xml:space="preserve">Ruang praktik hanya menunjukkan pasien pada versi terbaiknya — sudah mandi, sudah berpakaian rapi. Rumah menunjukkan pasien apa adanya.</w:t>
      </w:r>
    </w:p>
    <w:p>
      <w:pPr>
        <w:pStyle w:val="Heading2"/>
        <w:spacing w:after="120" w:before="250"/>
      </w:pPr>
      <w:r>
        <w:t xml:space="preserve">A. Persiapan dan Tujuan Kunjungan</w:t>
      </w:r>
    </w:p>
    <w:p>
      <w:pPr>
        <w:spacing w:after="160"/>
        <w:jc w:val="both"/>
      </w:pPr>
      <w:r>
        <w:t xml:space="preserve">Kunjungan rumah adalah keterampilan klinis khas kedokteran keluarga yang memungkinkan penilaian pasien dalam konteks lingkungan hidup sesungguhnya — sesuatu yang tidak dapat diperoleh dari konsultasi di ruang praktik semata. Persiapan mencakup penentuan tujuan kunjungan (asesmen, edukasi, evaluasi kepatuhan, atau tindak lanjut paliatif), serta perlengkapan yang dibawa.</w:t>
      </w:r>
    </w:p>
    <w:p>
      <w:pPr>
        <w:pStyle w:val="Heading2"/>
        <w:spacing w:after="120" w:before="250"/>
      </w:pPr>
      <w:r>
        <w:t xml:space="preserve">B. Apa yang Dinilai di Rumah</w:t>
      </w:r>
    </w:p>
    <w:p>
      <w:pPr>
        <w:pStyle w:val="ListParagraph"/>
        <w:numPr>
          <w:ilvl w:val="0"/>
          <w:numId w:val="1"/>
        </w:numPr>
        <w:spacing w:after="90"/>
      </w:pPr>
      <w:r>
        <w:t xml:space="preserve">Penilaian lingkungan rumah: kebersihan, ventilasi, risiko jatuh pada lansia, akses air bersih, dan kondisi sosial-ekonomi yang relevan.</w:t>
      </w:r>
    </w:p>
    <w:p>
      <w:pPr>
        <w:pStyle w:val="ListParagraph"/>
        <w:numPr>
          <w:ilvl w:val="0"/>
          <w:numId w:val="1"/>
        </w:numPr>
        <w:spacing w:after="90"/>
      </w:pPr>
      <w:r>
        <w:t xml:space="preserve">Observasi dinamika keluarga secara langsung, yang sering berbeda dari yang dilaporkan di ruang praktik.</w:t>
      </w:r>
    </w:p>
    <w:p>
      <w:pPr>
        <w:pStyle w:val="ListParagraph"/>
        <w:numPr>
          <w:ilvl w:val="0"/>
          <w:numId w:val="1"/>
        </w:numPr>
        <w:spacing w:after="90"/>
      </w:pPr>
      <w:r>
        <w:t xml:space="preserve">Dokumentasi temuan kunjungan rumah ke dalam rekam medis berorientasi masalah sebagai bagian dari data objektif.</w:t>
      </w:r>
    </w:p>
    <w:p>
      <w:pPr>
        <w:pStyle w:val="Heading1"/>
        <w:spacing w:after="150" w:before="300"/>
      </w:pPr>
      <w:r>
        <w:t xml:space="preserve">BAB IX — INTEGRASI PERANGKAT KLINIS DALAM PRAKTIK SEHARI-HARI</w:t>
      </w:r>
    </w:p>
    <w:p>
      <w:pPr>
        <w:spacing w:after="160" w:before="40"/>
        <w:jc w:val="both"/>
      </w:pPr>
      <w:r>
        <w:rPr>
          <w:i/>
          <w:iCs/>
          <w:color w:val="2C3A64"/>
          <w:sz w:val="24"/>
          <w:szCs w:val="24"/>
        </w:rPr>
        <w:t xml:space="preserve">Sembilan perangkat yang telah dipelajari akan terasa berat bila dianggap sebagai sembilan tugas terpisah. Bab penutup ini menunjukkan bahwa keduanya justru saling menopang dalam satu konsultasi yang sama.</w:t>
      </w:r>
    </w:p>
    <w:p>
      <w:pPr>
        <w:pStyle w:val="Heading2"/>
        <w:spacing w:after="120" w:before="250"/>
      </w:pPr>
      <w:r>
        <w:t xml:space="preserve">A. Bukan Alat Administratif, Melainkan Kerangka Berpikir</w:t>
      </w:r>
    </w:p>
    <w:p>
      <w:pPr>
        <w:spacing w:after="160"/>
        <w:jc w:val="both"/>
      </w:pPr>
      <w:r>
        <w:t xml:space="preserve">Kesembilan perangkat pada bab-bab sebelumnya bukan alat administratif yang berdiri sendiri, melainkan kerangka berpikir yang terintegrasi dalam setiap konsultasi. Peserta didik tahun pertama dianjurkan berlatih menyusun genogram dan Family APGAR sebagai bagian rutin asesmen keluarga binaan, sebelum secara bertahap mengintegrasikan family life cycle, ecomap, dan PCCM ke dalam pengambilan keputusan klinis yang lebih kompleks pada tahun-tahun berikutnya.</w:t>
      </w:r>
    </w:p>
    <w:p>
      <w:pPr>
        <w:pStyle w:val="Heading2"/>
        <w:spacing w:after="120" w:before="250"/>
      </w:pPr>
      <w:r>
        <w:t xml:space="preserve">B. Penjenjangan Penerapan per Tahun Pendidikan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4500"/>
        <w:gridCol w:w="4500"/>
      </w:tblGrid>
      <w:tr>
        <w:tc>
          <w:tcPr>
            <w:tcW w:type="dxa" w:w="4500"/>
            <w:shd w:fill="2C3A64" w:val="clear"/>
          </w:tcPr>
          <w:p>
            <w:r>
              <w:rPr>
                <w:b/>
                <w:bCs/>
                <w:color w:val="FFFFFF"/>
              </w:rPr>
              <w:t xml:space="preserve">Tahun Pendidikan</w:t>
            </w:r>
          </w:p>
        </w:tc>
        <w:tc>
          <w:tcPr>
            <w:tcW w:type="dxa" w:w="4500"/>
            <w:shd w:fill="2C3A64" w:val="clear"/>
          </w:tcPr>
          <w:p>
            <w:r>
              <w:rPr>
                <w:b/>
                <w:bCs/>
                <w:color w:val="FFFFFF"/>
              </w:rPr>
              <w:t xml:space="preserve">Tingkat Penerapan yang Diharapkan (indikatif)</w:t>
            </w:r>
          </w:p>
        </w:tc>
      </w:tr>
      <w:tr>
        <w:tc>
          <w:tcPr>
            <w:tcW w:type="dxa" w:w="4500"/>
          </w:tcPr>
          <w:p>
            <w:r>
              <w:t xml:space="preserve">Tahun I</w:t>
            </w:r>
          </w:p>
        </w:tc>
        <w:tc>
          <w:tcPr>
            <w:tcW w:type="dxa" w:w="4500"/>
          </w:tcPr>
          <w:p>
            <w:r>
              <w:t xml:space="preserve">Mampu menyusun genogram dan Family APGAR secara mandiri; observasi PCCM dengan bimbingan.</w:t>
            </w:r>
          </w:p>
        </w:tc>
      </w:tr>
      <w:tr>
        <w:tc>
          <w:tcPr>
            <w:tcW w:type="dxa" w:w="4500"/>
          </w:tcPr>
          <w:p>
            <w:r>
              <w:t xml:space="preserve">Tahun II</w:t>
            </w:r>
          </w:p>
        </w:tc>
        <w:tc>
          <w:tcPr>
            <w:tcW w:type="dxa" w:w="4500"/>
          </w:tcPr>
          <w:p>
            <w:r>
              <w:t xml:space="preserve">Mampu mengintegrasikan ecomap dan family life cycle dalam rencana perawatan keluarga binaan.</w:t>
            </w:r>
          </w:p>
        </w:tc>
      </w:tr>
      <w:tr>
        <w:tc>
          <w:tcPr>
            <w:tcW w:type="dxa" w:w="4500"/>
          </w:tcPr>
          <w:p>
            <w:r>
              <w:t xml:space="preserve">Tahun III</w:t>
            </w:r>
          </w:p>
        </w:tc>
        <w:tc>
          <w:tcPr>
            <w:tcW w:type="dxa" w:w="4500"/>
          </w:tcPr>
          <w:p>
            <w:r>
              <w:t xml:space="preserve">Mampu menerapkan PCCM dan penalaran klinis undifferentiated presentation secara mandiri pada kasus kompleks.</w:t>
            </w:r>
          </w:p>
        </w:tc>
      </w:tr>
      <w:tr>
        <w:tc>
          <w:tcPr>
            <w:tcW w:type="dxa" w:w="4500"/>
          </w:tcPr>
          <w:p>
            <w:r>
              <w:t xml:space="preserve">Tahun IV</w:t>
            </w:r>
          </w:p>
        </w:tc>
        <w:tc>
          <w:tcPr>
            <w:tcW w:type="dxa" w:w="4500"/>
          </w:tcPr>
          <w:p>
            <w:r>
              <w:t xml:space="preserve">Mampu membimbing peserta didik junior dalam penerapan seluruh perangkat, termasuk supervisi kunjungan rumah.</w:t>
            </w:r>
          </w:p>
        </w:tc>
      </w:tr>
    </w:tbl>
    <w:p>
      <w:pPr>
        <w:spacing w:after="160"/>
      </w:pPr>
    </w:p>
    <w:p>
      <w:pPr>
        <w:pBdr>
          <w:left w:val="single" w:color="A9812F" w:sz="24"/>
        </w:pBdr>
        <w:shd w:fill="FBEFD9" w:val="clear"/>
        <w:spacing w:after="200" w:before="100"/>
        <w:ind w:left="200"/>
      </w:pPr>
      <w:r>
        <w:rPr>
          <w:b/>
          <w:bCs/>
          <w:color w:val="8A6410"/>
        </w:rPr>
        <w:t xml:space="preserve">⚠ TINJAU TENAGA KESEHATAN — </w:t>
      </w:r>
      <w:r>
        <w:rPr>
          <w:i/>
          <w:iCs/>
        </w:rPr>
        <w:t xml:space="preserve">tabel penjenjangan tahun pendidikan di atas bersifat indikatif berdasarkan prinsip umum pembelajaran bertahap dan wajib diselaraskan dengan Matriks Kewenangan Klinis Bertingkat resmi institusi (Dokumen P4) serta ketentuan definitif Perkonsil 65/2019 yang berlaku di program studi masing-masing.</w:t>
      </w:r>
    </w:p>
    <w:p>
      <w:pPr>
        <w:pStyle w:val="Heading1"/>
        <w:spacing w:after="150" w:before="300"/>
      </w:pPr>
      <w:r>
        <w:t xml:space="preserve">BAB IX-A — PENJENJANGAN CAPAIAN PEMBELAJARAN TAHUN I–IV: KETERAMPILAN KLINIS DASAR KEDOKTERAN KELUARGA</w:t>
      </w:r>
    </w:p>
    <w:p>
      <w:pPr>
        <w:spacing w:after="160" w:before="40"/>
        <w:jc w:val="both"/>
      </w:pPr>
      <w:r>
        <w:rPr>
          <w:i/>
          <w:iCs/>
          <w:color w:val="2C3A64"/>
          <w:sz w:val="24"/>
          <w:szCs w:val="24"/>
        </w:rPr>
        <w:t xml:space="preserve">Menguasai genogram atau SOAP di atas kertas berbeda jauh dengan memakainya secara refleks saat pasien duduk di depan kita — penjenjangan berikut menandai jarak antara keduanya.</w:t>
      </w:r>
    </w:p>
    <w:p>
      <w:pPr>
        <w:spacing w:after="160"/>
        <w:jc w:val="both"/>
      </w:pPr>
      <w:r>
        <w:t xml:space="preserve">Penjenjangan berikut merupakan usulan kerangka penahapan berbasis pola umum pendidikan spesialis empat tahun dan notasi penjenjangan capaian pembelajaran Perkonsil 65/2019 (mis. tingkat kemampuan 1–4A), diselaraskan dengan topik buku ini. Kedalaman dan urutan aktual tetap mengikuti kurikulum operasional program studi serta hasil evaluasi individual peserta didik — tabel ini bukan pengganti matriks kewenangan klinis resmi (lihat Dokumen P4).</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c>
          <w:tcPr>
            <w:tcW w:type="dxa" w:w="2250"/>
            <w:shd w:fill="2C3A64" w:val="clear"/>
          </w:tcPr>
          <w:p>
            <w:r>
              <w:rPr>
                <w:b/>
                <w:bCs/>
                <w:color w:val="FFFFFF"/>
              </w:rPr>
              <w:t xml:space="preserve">Tahun Pendidikan</w:t>
            </w:r>
          </w:p>
        </w:tc>
        <w:tc>
          <w:tcPr>
            <w:tcW w:type="dxa" w:w="2250"/>
            <w:shd w:fill="2C3A64" w:val="clear"/>
          </w:tcPr>
          <w:p>
            <w:r>
              <w:rPr>
                <w:b/>
                <w:bCs/>
                <w:color w:val="FFFFFF"/>
              </w:rPr>
              <w:t xml:space="preserve">Fokus Belajar Utama</w:t>
            </w:r>
          </w:p>
        </w:tc>
        <w:tc>
          <w:tcPr>
            <w:tcW w:type="dxa" w:w="2250"/>
            <w:shd w:fill="2C3A64" w:val="clear"/>
          </w:tcPr>
          <w:p>
            <w:r>
              <w:rPr>
                <w:b/>
                <w:bCs/>
                <w:color w:val="FFFFFF"/>
              </w:rPr>
              <w:t xml:space="preserve">Tingkat Kemandirian Klinis</w:t>
            </w:r>
          </w:p>
        </w:tc>
        <w:tc>
          <w:tcPr>
            <w:tcW w:type="dxa" w:w="2250"/>
            <w:shd w:fill="2C3A64" w:val="clear"/>
          </w:tcPr>
          <w:p>
            <w:r>
              <w:rPr>
                <w:b/>
                <w:bCs/>
                <w:color w:val="FFFFFF"/>
              </w:rPr>
              <w:t xml:space="preserve">Capaian yang Diharapkan</w:t>
            </w:r>
          </w:p>
        </w:tc>
      </w:tr>
      <w:tr>
        <w:tc>
          <w:tcPr>
            <w:tcW w:type="dxa" w:w="2250"/>
          </w:tcPr>
          <w:p>
            <w:r>
              <w:t xml:space="preserve">Tahun I</w:t>
            </w:r>
          </w:p>
        </w:tc>
        <w:tc>
          <w:tcPr>
            <w:tcW w:type="dxa" w:w="2250"/>
          </w:tcPr>
          <w:p>
            <w:r>
              <w:t xml:space="preserve">Mengenali dan mempraktikkan perangkat dasar (genogram, family APGAR, SOAP) di bawah observasi langsung pembimbing.</w:t>
            </w:r>
          </w:p>
        </w:tc>
        <w:tc>
          <w:tcPr>
            <w:tcW w:type="dxa" w:w="2250"/>
          </w:tcPr>
          <w:p>
            <w:r>
              <w:t xml:space="preserve">Observasi dan dibimbing langsung pada setiap kasus.</w:t>
            </w:r>
          </w:p>
        </w:tc>
        <w:tc>
          <w:tcPr>
            <w:tcW w:type="dxa" w:w="2250"/>
          </w:tcPr>
          <w:p>
            <w:r>
              <w:t xml:space="preserve">Mampu menyusun genogram dan catatan SOAP dasar secara benar dengan supervisi penuh.</w:t>
            </w:r>
          </w:p>
        </w:tc>
      </w:tr>
      <w:tr>
        <w:tc>
          <w:tcPr>
            <w:tcW w:type="dxa" w:w="2250"/>
          </w:tcPr>
          <w:p>
            <w:r>
              <w:t xml:space="preserve">Tahun II</w:t>
            </w:r>
          </w:p>
        </w:tc>
        <w:tc>
          <w:tcPr>
            <w:tcW w:type="dxa" w:w="2250"/>
          </w:tcPr>
          <w:p>
            <w:r>
              <w:t xml:space="preserve">Menerapkan patient-centered clinical method pada keluhan belum terdiferensiasi dengan bimbingan tidak langsung.</w:t>
            </w:r>
          </w:p>
        </w:tc>
        <w:tc>
          <w:tcPr>
            <w:tcW w:type="dxa" w:w="2250"/>
          </w:tcPr>
          <w:p>
            <w:r>
              <w:t xml:space="preserve">Dibimbing tidak langsung; konsultasi bila ragu.</w:t>
            </w:r>
          </w:p>
        </w:tc>
        <w:tc>
          <w:tcPr>
            <w:tcW w:type="dxa" w:w="2250"/>
          </w:tcPr>
          <w:p>
            <w:r>
              <w:t xml:space="preserve">Mampu menggali FIFE dan menyusun rencana bersama pasien pada kasus umum.</w:t>
            </w:r>
          </w:p>
        </w:tc>
      </w:tr>
      <w:tr>
        <w:tc>
          <w:tcPr>
            <w:tcW w:type="dxa" w:w="2250"/>
          </w:tcPr>
          <w:p>
            <w:r>
              <w:t xml:space="preserve">Tahun III</w:t>
            </w:r>
          </w:p>
        </w:tc>
        <w:tc>
          <w:tcPr>
            <w:tcW w:type="dxa" w:w="2250"/>
          </w:tcPr>
          <w:p>
            <w:r>
              <w:t xml:space="preserve">Mengintegrasikan seluruh perangkat family-centered pada kasus kompleks (keluarga disfungsional, multimasalah).</w:t>
            </w:r>
          </w:p>
        </w:tc>
        <w:tc>
          <w:tcPr>
            <w:tcW w:type="dxa" w:w="2250"/>
          </w:tcPr>
          <w:p>
            <w:r>
              <w:t xml:space="preserve">Mandiri dengan supervisi berkala/insidental.</w:t>
            </w:r>
          </w:p>
        </w:tc>
        <w:tc>
          <w:tcPr>
            <w:tcW w:type="dxa" w:w="2250"/>
          </w:tcPr>
          <w:p>
            <w:r>
              <w:t xml:space="preserve">Mampu memimpin kunjungan rumah dan menyusun rencana perawatan keluarga menyeluruh.</w:t>
            </w:r>
          </w:p>
        </w:tc>
      </w:tr>
      <w:tr>
        <w:tc>
          <w:tcPr>
            <w:tcW w:type="dxa" w:w="2250"/>
          </w:tcPr>
          <w:p>
            <w:r>
              <w:t xml:space="preserve">Tahun IV</w:t>
            </w:r>
          </w:p>
        </w:tc>
        <w:tc>
          <w:tcPr>
            <w:tcW w:type="dxa" w:w="2250"/>
          </w:tcPr>
          <w:p>
            <w:r>
              <w:t xml:space="preserve">Membimbing peserta didik junior dalam penerapan perangkat klinis dasar; menjadi rujukan internal wahana.</w:t>
            </w:r>
          </w:p>
        </w:tc>
        <w:tc>
          <w:tcPr>
            <w:tcW w:type="dxa" w:w="2250"/>
          </w:tcPr>
          <w:p>
            <w:r>
              <w:t xml:space="preserve">Mandiri penuh, berperan sebagai pendamping sejawat junior.</w:t>
            </w:r>
          </w:p>
        </w:tc>
        <w:tc>
          <w:tcPr>
            <w:tcW w:type="dxa" w:w="2250"/>
          </w:tcPr>
          <w:p>
            <w:r>
              <w:t xml:space="preserve">Mampu mengaudit mutu penerapan pendekatan holistik oleh peserta didik lain.</w:t>
            </w:r>
          </w:p>
        </w:tc>
      </w:tr>
    </w:tbl>
    <w:p>
      <w:pPr>
        <w:spacing w:after="160"/>
      </w:pPr>
    </w:p>
    <w:p>
      <w:pPr>
        <w:pStyle w:val="Heading1"/>
        <w:spacing w:after="150" w:before="300"/>
      </w:pPr>
      <w:r>
        <w:t xml:space="preserve">BAB IX-B — EVALUASI DIRI DAN PERTANYAAN REFLEKTIF</w:t>
      </w:r>
    </w:p>
    <w:p>
      <w:pPr>
        <w:spacing w:after="160" w:before="40"/>
        <w:jc w:val="both"/>
      </w:pPr>
      <w:r>
        <w:rPr>
          <w:i/>
          <w:iCs/>
          <w:color w:val="2C3A64"/>
          <w:sz w:val="24"/>
          <w:szCs w:val="24"/>
        </w:rPr>
        <w:t xml:space="preserve">Kompetensi yang sesungguhnya sering terlihat bukan dari apa yang bisa dijelaskan di ujian lisan, melainkan dari pertanyaan jujur yang diajukan pada diri sendiri setelah kunjungan pasien selesai.</w:t>
      </w:r>
    </w:p>
    <w:p>
      <w:pPr>
        <w:spacing w:after="160"/>
        <w:jc w:val="both"/>
      </w:pPr>
      <w:r>
        <w:t xml:space="preserve">Pertanyaan reflektif berikut dapat digunakan peserta didik sebagai bahan evaluasi diri berkala (mis. mengisi jurnal reflektif mingguan) maupun bahan diskusi terstruktur dengan dokter pembimbing klinis, melengkapi instrumen penilaian formal pada Dokumen P6.</w:t>
      </w:r>
    </w:p>
    <w:p>
      <w:pPr>
        <w:pStyle w:val="ListParagraph"/>
        <w:numPr>
          <w:ilvl w:val="0"/>
          <w:numId w:val="1"/>
        </w:numPr>
        <w:spacing w:after="90"/>
      </w:pPr>
      <w:r>
        <w:t xml:space="preserve">Apakah saya sudah menggunakan genogram dan family APGAR sebagai kebiasaan reflektif, atau hanya saat diminta pembimbing?</w:t>
      </w:r>
    </w:p>
    <w:p>
      <w:pPr>
        <w:pStyle w:val="ListParagraph"/>
        <w:numPr>
          <w:ilvl w:val="0"/>
          <w:numId w:val="1"/>
        </w:numPr>
        <w:spacing w:after="90"/>
      </w:pPr>
      <w:r>
        <w:t xml:space="preserve">Kapan terakhir kali saya mengubah rencana terapi setelah mendengar FIFE pasien, bukan sekadar mencatatnya?</w:t>
      </w:r>
    </w:p>
    <w:p>
      <w:pPr>
        <w:pStyle w:val="ListParagraph"/>
        <w:numPr>
          <w:ilvl w:val="0"/>
          <w:numId w:val="1"/>
        </w:numPr>
        <w:spacing w:after="90"/>
      </w:pPr>
      <w:r>
        <w:t xml:space="preserve">Seberapa sering catatan SOAP saya benar-benar berorientasi masalah, bukan sekadar narasi kunjungan?</w:t>
      </w:r>
    </w:p>
    <w:p>
      <w:pPr>
        <w:pStyle w:val="ListParagraph"/>
        <w:numPr>
          <w:ilvl w:val="0"/>
          <w:numId w:val="1"/>
        </w:numPr>
        <w:spacing w:after="90"/>
      </w:pPr>
      <w:r>
        <w:t xml:space="preserve">Pada kasus terakhir yang "tidak membaik", sudahkah saya menelusuri dimensi keluarga/psikososialnya, bukan hanya biomedis?</w:t>
      </w:r>
    </w:p>
    <w:p>
      <w:pPr>
        <w:pStyle w:val="ListParagraph"/>
        <w:numPr>
          <w:ilvl w:val="0"/>
          <w:numId w:val="1"/>
        </w:numPr>
        <w:spacing w:after="90"/>
      </w:pPr>
      <w:r>
        <w:t xml:space="preserve">Apakah saya sudah pernah melakukan kunjungan rumah yang benar-benar mengubah rencana tata laksana saya?</w:t>
      </w:r>
    </w:p>
    <w:p>
      <w:pPr>
        <w:pStyle w:val="Heading1"/>
        <w:spacing w:after="150" w:before="300"/>
      </w:pPr>
      <w:r>
        <w:t xml:space="preserve">BAB X — PENUTUP</w:t>
      </w:r>
    </w:p>
    <w:p>
      <w:pPr>
        <w:spacing w:after="160"/>
        <w:jc w:val="both"/>
      </w:pPr>
      <w:r>
        <w:t xml:space="preserve">Penguasaan keterampilan klinis dasar dalam buku ini menjadi prasyarat konseptual bagi buku-buku tematik Klaster Digital berikutnya, yang akan membahas pengelolaan penyakit dan masalah kesehatan spesifik (Area Kompetensi g) dengan tetap menerapkan pendekatan holistik dan berpusat pada pasien yang telah dibangun di sini.</w:t>
      </w:r>
    </w:p>
    <w:p>
      <w:pPr>
        <w:pStyle w:val="Heading2"/>
        <w:spacing w:after="120" w:before="250"/>
      </w:pPr>
      <w:r>
        <w:t xml:space="preserve">Glosarium</w:t>
      </w:r>
    </w:p>
    <w:p>
      <w:pPr>
        <w:spacing w:after="90"/>
      </w:pPr>
      <w:r>
        <w:rPr>
          <w:b/>
          <w:bCs/>
        </w:rPr>
        <w:t xml:space="preserve">Genogram — </w:t>
      </w:r>
      <w:r>
        <w:t xml:space="preserve">Peta grafis struktur dan riwayat kesehatan keluarga lintas generasi.</w:t>
      </w:r>
    </w:p>
    <w:p>
      <w:pPr>
        <w:spacing w:after="90"/>
      </w:pPr>
      <w:r>
        <w:rPr>
          <w:b/>
          <w:bCs/>
        </w:rPr>
        <w:t xml:space="preserve">Family APGAR — </w:t>
      </w:r>
      <w:r>
        <w:t xml:space="preserve">Instrumen skrining fungsi keluarga berbasis lima domain: Adaptation, Partnership, Growth, Affection, Resolve.</w:t>
      </w:r>
    </w:p>
    <w:p>
      <w:pPr>
        <w:spacing w:after="90"/>
      </w:pPr>
      <w:r>
        <w:rPr>
          <w:b/>
          <w:bCs/>
        </w:rPr>
        <w:t xml:space="preserve">Family Circle — </w:t>
      </w:r>
      <w:r>
        <w:t xml:space="preserve">Diagram kedekatan emosional antaranggota keluarga.</w:t>
      </w:r>
    </w:p>
    <w:p>
      <w:pPr>
        <w:spacing w:after="90"/>
      </w:pPr>
      <w:r>
        <w:rPr>
          <w:b/>
          <w:bCs/>
        </w:rPr>
        <w:t xml:space="preserve">Ecomap — </w:t>
      </w:r>
      <w:r>
        <w:t xml:space="preserve">Diagram hubungan keluarga dengan sistem eksternal: pekerjaan, sekolah, layanan kesehatan, dan komunitas.</w:t>
      </w:r>
    </w:p>
    <w:p>
      <w:pPr>
        <w:spacing w:after="90"/>
      </w:pPr>
      <w:r>
        <w:rPr>
          <w:b/>
          <w:bCs/>
        </w:rPr>
        <w:t xml:space="preserve">Family Life Cycle — </w:t>
      </w:r>
      <w:r>
        <w:t xml:space="preserve">Pemetaan tahap perkembangan keluarga beserta tugas dan potensi krisis pada tiap tahap.</w:t>
      </w:r>
    </w:p>
    <w:p>
      <w:pPr>
        <w:spacing w:after="90"/>
      </w:pPr>
      <w:r>
        <w:rPr>
          <w:b/>
          <w:bCs/>
        </w:rPr>
        <w:t xml:space="preserve">PCCM — </w:t>
      </w:r>
      <w:r>
        <w:t xml:space="preserve">Patient-Centered Clinical Method — kerangka konsultasi yang mengintegrasikan perspektif disease dan illness.</w:t>
      </w:r>
    </w:p>
    <w:p>
      <w:pPr>
        <w:spacing w:after="90"/>
      </w:pPr>
      <w:r>
        <w:rPr>
          <w:b/>
          <w:bCs/>
        </w:rPr>
        <w:t xml:space="preserve">FIFE — </w:t>
      </w:r>
      <w:r>
        <w:t xml:space="preserve">Feelings, Ideas, Function, Expectations — kerangka penggalian perspektif illness pasien.</w:t>
      </w:r>
    </w:p>
    <w:p>
      <w:pPr>
        <w:spacing w:after="90"/>
      </w:pPr>
      <w:r>
        <w:rPr>
          <w:b/>
          <w:bCs/>
        </w:rPr>
        <w:t xml:space="preserve">SOAP — </w:t>
      </w:r>
      <w:r>
        <w:t xml:space="preserve">Subjective, Objective, Assessment, Plan — format dokumentasi rekam medis berorientasi masalah.</w:t>
      </w:r>
    </w:p>
    <w:p>
      <w:pPr>
        <w:spacing w:after="90"/>
      </w:pPr>
      <w:r>
        <w:rPr>
          <w:b/>
          <w:bCs/>
        </w:rPr>
        <w:t xml:space="preserve">Undifferentiated Presentation — </w:t>
      </w:r>
      <w:r>
        <w:t xml:space="preserve">Keluhan pasien yang belum mengarah jelas ke satu diagnosis pada kontak klinis awal.</w:t>
      </w:r>
    </w:p>
    <w:p>
      <w:pPr>
        <w:spacing w:after="90"/>
      </w:pPr>
      <w:r>
        <w:rPr>
          <w:b/>
          <w:bCs/>
        </w:rPr>
        <w:t xml:space="preserve">Safety Netting — </w:t>
      </w:r>
      <w:r>
        <w:t xml:space="preserve">Instruksi eksplisit kepada pasien tentang kapan harus kembali atau mencari pertolongan bila gejala memburuk.</w:t>
      </w:r>
    </w:p>
    <w:p>
      <w:pPr>
        <w:pStyle w:val="Heading2"/>
        <w:spacing w:after="120" w:before="250"/>
      </w:pPr>
      <w:r>
        <w:t xml:space="preserve">Daftar Pustaka</w:t>
      </w:r>
    </w:p>
    <w:p>
      <w:pPr>
        <w:spacing w:after="90"/>
        <w:ind w:left="360" w:hanging="360"/>
      </w:pPr>
      <w:r>
        <w:t xml:space="preserve">Konsil Kedokteran Indonesia. Peraturan Konsil Kedokteran Indonesia Nomor 65 Tahun 2019 tentang Standar Pendidikan Profesi Dokter Spesialis Kedokteran Keluarga Layanan Primer.</w:t>
      </w:r>
    </w:p>
    <w:p>
      <w:pPr>
        <w:spacing w:after="90"/>
        <w:ind w:left="360" w:hanging="360"/>
      </w:pPr>
      <w:r>
        <w:t xml:space="preserve">Stewart M, et al. Patient-Centered Medicine: Transforming the Clinical Method.</w:t>
      </w:r>
    </w:p>
    <w:p>
      <w:pPr>
        <w:spacing w:after="90"/>
        <w:ind w:left="360" w:hanging="360"/>
      </w:pPr>
      <w:r>
        <w:t xml:space="preserve">Smilkstein G. The Family APGAR: A Proposal for a Family Function Test and Its Use by Physicians.</w:t>
      </w:r>
    </w:p>
    <w:p>
      <w:pPr>
        <w:spacing w:after="90"/>
        <w:ind w:left="360" w:hanging="360"/>
      </w:pPr>
      <w:r>
        <w:t xml:space="preserve">Catatan: buku ajar kedokteran keluarga nasional terbitan Kolegium Dokter Keluarga Indonesia, referensi ecomap (Hartman A.), dan referensi family life cycle (Duvall E./Carter B. &amp; McGoldrick M.) belum dicantumkan sebagai entri baku bernomor pada edisi ini karena edisi/tahun terbitan spesifik belum diverifikasi; pembaca disarankan menelusuri publikasi resmi terkini sebagai pelengkap sebelum dikutip formal.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2026-07-18T16:20:03.806Z</dcterms:created>
  <dcterms:modified xsi:type="dcterms:W3CDTF">2026-07-18T16:20:03.806Z</dcterms:modified>
</cp:coreProperties>
</file>

<file path=docProps/custom.xml><?xml version="1.0" encoding="utf-8"?>
<Properties xmlns="http://schemas.openxmlformats.org/officeDocument/2006/custom-properties" xmlns:vt="http://schemas.openxmlformats.org/officeDocument/2006/docPropsVTypes"/>
</file>